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2"/>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Kayne Anderson NextGen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&amp; Infrastructure Provides Unaudited Balance Sheet Information and Announces its Net Asset Value and Asset Coverage Ratios at June 30, 2022</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GlobeNewswire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July 1, 2022 Friday 3:40 PM PT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GlobeNewswire, Inc. All Rights Reserved</w:t>
      </w:r>
    </w:p>
    <w:p>
      <w:pPr>
        <w:keepNext w:val="0"/>
        <w:spacing w:before="120" w:after="0" w:line="220" w:lineRule="atLeast"/>
        <w:ind w:left="0" w:right="0" w:firstLine="0"/>
        <w:jc w:val="left"/>
      </w:pPr>
      <w:r>
        <w:br/>
      </w:r>
      <w:r>
        <w:pict>
          <v:shape id="_x0000_i1026" type="#_x0000_t75" style="width:215.97pt;height:68.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Section:</w:t>
      </w:r>
      <w:r>
        <w:rPr>
          <w:rFonts w:ascii="times" w:eastAsia="times" w:hAnsi="times" w:cs="times"/>
          <w:b w:val="0"/>
          <w:i w:val="0"/>
          <w:strike w:val="0"/>
          <w:noProof w:val="0"/>
          <w:color w:val="000000"/>
          <w:position w:val="0"/>
          <w:sz w:val="20"/>
          <w:u w:val="none"/>
          <w:vertAlign w:val="baseline"/>
        </w:rPr>
        <w:t> INVESTMENT FUND INFORMATION</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912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HOUSTON, July  01, 2022  (GLOBE NEWSWIRE) -- Kayne Anderson NextGen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&amp; Infrastructure, Inc. (the “Fund”) (NYSE: KMF) today provided a summary unaudited statement of assets and liabilities and announced its net asset value and asset coverage ratios under the Investment Company Act of 1940 (the “1940 Act”) as of June 30,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of June 30, 2022, the Fund’s net assets were $433.1 million and its net asset value per share was $9.18. As of June 30, 2022, the Fund’s asset coverage ratio under the 1940 Act with respect to senior securities representing indebtedness was 459% and the Fund’s asset coverage ratio under the 1940 Act with respect to total leverage (debt and preferred stock) was 349%.</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4920"/>
        <w:gridCol w:w="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Kayne Anderson NextGen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&amp; Infrastructure, Inc.</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Statement of Assets and Liabilities</w:t>
            </w:r>
          </w:p>
        </w:tc>
        <w:tc>
          <w:tcPr>
            <w:tcW w:w="49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June 30, 2022</w:t>
            </w:r>
          </w:p>
        </w:tc>
        <w:tc>
          <w:tcPr>
            <w:tcW w:w="49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(Unaudited)</w:t>
            </w:r>
          </w:p>
        </w:tc>
        <w:tc>
          <w:tcPr>
            <w:tcW w:w="49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 millions)</w:t>
            </w:r>
          </w:p>
        </w:tc>
        <w:tc>
          <w:tcPr>
            <w:tcW w:w="49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Investments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596.5</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Cash and cash equivalents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Accrued income</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assets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9.1</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assets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608.1</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Credit facility</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50.0</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Bank facility</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Notes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80.1</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Unamortized notes issuance costs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w:t>
            </w: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Preferred stock</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41.5</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Unamortized preferred stock issuance costs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(0.6</w:t>
            </w: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leverage</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172.8</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liabilities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assets</w:t>
            </w:r>
          </w:p>
        </w:tc>
        <w:tc>
          <w:tcPr>
            <w:tcW w:w="49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433.1</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Fund had 47,197,462 common shares outstanding as of June 30,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As of June 30, 2022, equity and debt investments were 99% and 1%, respectively, of the Fund’s long-term investments. Long-term investments were comprised of Midstream Company (37%), Natural Gas &amp; LNG Infrastructure Company (23%), Renewable Infrastructure Company (18%), Utility Company (18%), Other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(3%) and Debt (1%).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Fund’s ten largest holdings by issuer at June 30, 2022 were: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
        <w:gridCol w:w="5880"/>
        <w:gridCol w:w="2280"/>
        <w:gridCol w:w="6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5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Amount(in millions)*</w:t>
            </w: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Percent ofLong-TermInvestments</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5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Enterprise Products Partners L.P. (Midstream Company)</w:t>
            </w: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$41.1</w:t>
            </w: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5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Targa Resources Corp. (Midstream Company)</w:t>
            </w: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36.6</w:t>
            </w: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6.1%</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5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Cheniere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Inc. (Natural Gas &amp; LNG Infrastructure Company)</w:t>
            </w: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34.4</w:t>
            </w: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5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The Williams Companies, Inc. (Natural Gas &amp; LNG Infrastructure Company)</w:t>
            </w: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33.6</w:t>
            </w: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5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Transfer LP (Midstream Company)</w:t>
            </w: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26.5</w:t>
            </w: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5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MPLX LP (Midstream Company)</w:t>
            </w: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26.0</w:t>
            </w: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w:t>
            </w:r>
          </w:p>
        </w:tc>
        <w:tc>
          <w:tcPr>
            <w:tcW w:w="5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TC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Corporation (Natural Gas &amp; LNG Infrastructure Company)</w:t>
            </w: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23.6</w:t>
            </w: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c>
          <w:tcPr>
            <w:tcW w:w="5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Brookfield Renewable Partners L.P. ** (Renewable Infrastructure Company)</w:t>
            </w: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22.7</w:t>
            </w: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5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DT Midstream, Inc. (Natural Gas &amp; LNG Infrastructure Company)</w:t>
            </w: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19.7</w:t>
            </w: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58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Kinder Morgan, Inc. (Natural Gas &amp; LNG Infrastructure Company)</w:t>
            </w:r>
          </w:p>
        </w:tc>
        <w:tc>
          <w:tcPr>
            <w:tcW w:w="22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19.4</w:t>
            </w:r>
          </w:p>
        </w:tc>
        <w:tc>
          <w:tcPr>
            <w:tcW w:w="60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_________________</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
        <w:gridCol w:w="600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40" w:type="dxa"/>
            <w:tcBorders>
              <w:bottom w:val="nil"/>
              <w:right w:val="nil"/>
            </w:tcBorders>
            <w:tcMar>
              <w:top w:w="20" w:type="dxa"/>
              <w:bottom w:w="20" w:type="dxa"/>
            </w:tcMar>
            <w:vAlign w:val="top"/>
          </w:tcPr>
          <w:p/>
        </w:tc>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Includes ownership of equity and debt investments.</w:t>
            </w:r>
          </w:p>
        </w:tc>
      </w:tr>
      <w:tr>
        <w:tblPrEx>
          <w:tblW w:w="0" w:type="auto"/>
          <w:jc w:val="center"/>
          <w:tblLayout w:type="fixed"/>
          <w:tblCellMar>
            <w:left w:w="108" w:type="dxa"/>
            <w:right w:w="108" w:type="dxa"/>
          </w:tblCellMar>
        </w:tblPrEx>
        <w:trPr>
          <w:jc w:val="center"/>
        </w:trPr>
        <w:tc>
          <w:tcPr>
            <w:tcW w:w="2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Includes ownership of Brookfield Renewable Partners, L.P (?BEP?) and Brookfield Renewable Corporation (?BEPC?).</w:t>
            </w:r>
          </w:p>
        </w:tc>
        <w:tc>
          <w:tcPr>
            <w:tcW w:w="3000" w:type="dxa"/>
            <w:tcMar>
              <w:top w:w="20" w:type="dxa"/>
              <w:bottom w:w="20" w:type="dxa"/>
            </w:tcMar>
            <w:vAlign w:val="top"/>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Portfolio holdings are subject to change without notice. The mention of specific securities is not a recommendation or solicitation for any person to buy, sell or hold any particular security. You can obtain a complete listing of holdings by viewing the Fund’s most recent quarterly or annual report.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Kayne Anderson NextGen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&amp; Infrastructure, Inc. (NYSE: KMF) is a non-diversified, closed-end management investment company registered under the Investment Company Act of 1940, as amended, whose common stock is traded on the NYSE. The Fund's investment objective is to provide a high level of total return with an emphasis on making cash distributions to its stockholders. The Fund seeks to achieve its investment objective by investing at least 80% of its total assets in securities of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Companies and Infrastructure Companies. The Fund anticipates that the majority of its investments will consist of investments in ”NextGen” companies, which we define as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Companies and Infrastructure Companies that are meaningfully participating in, or benefitting from,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Transition. See Glossary of Key Terms in the Fund’s most recent quarterly report for a description of these investment categories and the meaning of capitalized terms.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press release shall not constitute an offer to sell or a solicitation to buy, nor shall there be any sale of any securities in any jurisdiction in which such offer or sale is not permitted. Nothing contained in this press release is intended to recommend any investment policy or investment strategy or take into account the specific objectives or circumstances of any investor. Please consult with your investment, tax, or legal adviser regarding your individual circumstances prior to investing.</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CAUTIONARY NOTE REGARDING FORWARD-LOOKING STATEMENTS: This communication contains statements reflecting assumptions, expectations, projections, intentions, or beliefs about future events. These and other statements not relating strictly to historical or current facts constitute forward-looking statements as defined under the U.S. federal securities laws. Forward-looking statements involve a variety of risks and uncertainties. These risks include, but are not limited to, changes in economic and political conditions; regulatory and legal changes;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industry risk; leverage risk; valuation risk; interest rate risk; tax risk; and other risks discussed in detail in the Fund’s filings with the SEC, available at </w:t>
      </w:r>
      <w:hyperlink r:id="rId10" w:history="1">
        <w:r>
          <w:rPr>
            <w:rFonts w:ascii="times" w:eastAsia="times" w:hAnsi="times" w:cs="times"/>
            <w:b w:val="0"/>
            <w:i/>
            <w:strike w:val="0"/>
            <w:noProof w:val="0"/>
            <w:color w:val="0077CC"/>
            <w:position w:val="0"/>
            <w:sz w:val="20"/>
            <w:u w:val="single"/>
            <w:shd w:val="clear" w:color="auto" w:fill="FFFFFF"/>
            <w:vertAlign w:val="baseline"/>
          </w:rPr>
          <w:t>www.kaynefunds.com</w:t>
        </w:r>
      </w:hyperlink>
      <w:r>
        <w:rPr>
          <w:rFonts w:ascii="times" w:eastAsia="times" w:hAnsi="times" w:cs="times"/>
          <w:b w:val="0"/>
          <w:i w:val="0"/>
          <w:strike w:val="0"/>
          <w:noProof w:val="0"/>
          <w:color w:val="000000"/>
          <w:position w:val="0"/>
          <w:sz w:val="20"/>
          <w:u w:val="none"/>
          <w:vertAlign w:val="baseline"/>
        </w:rPr>
        <w:t xml:space="preserve"> or </w:t>
      </w:r>
      <w:hyperlink r:id="rId11" w:history="1">
        <w:r>
          <w:rPr>
            <w:rFonts w:ascii="times" w:eastAsia="times" w:hAnsi="times" w:cs="times"/>
            <w:b w:val="0"/>
            <w:i/>
            <w:strike w:val="0"/>
            <w:noProof w:val="0"/>
            <w:color w:val="0077CC"/>
            <w:position w:val="0"/>
            <w:sz w:val="20"/>
            <w:u w:val="single"/>
            <w:shd w:val="clear" w:color="auto" w:fill="FFFFFF"/>
            <w:vertAlign w:val="baseline"/>
          </w:rPr>
          <w:t>www.sec.gov</w:t>
        </w:r>
      </w:hyperlink>
      <w:r>
        <w:rPr>
          <w:rFonts w:ascii="times" w:eastAsia="times" w:hAnsi="times" w:cs="times"/>
          <w:b w:val="0"/>
          <w:i w:val="0"/>
          <w:strike w:val="0"/>
          <w:noProof w:val="0"/>
          <w:color w:val="000000"/>
          <w:position w:val="0"/>
          <w:sz w:val="20"/>
          <w:u w:val="none"/>
          <w:vertAlign w:val="baseline"/>
        </w:rPr>
        <w:t xml:space="preserve">. Actual events could differ materially from these statements or from our present expectations or projections. You should not place undue reliance on these forward-looking statements, which speak only as of the date they are made. Kayne Anderson undertakes no obligation to publicly update or revise any forward-looking statements made herein. There is no assurance that the Fund’s investment objectives will be attained.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 Investor Relations at (877) 657-3863 or </w:t>
      </w:r>
      <w:hyperlink r:id="rId12" w:history="1">
        <w:r>
          <w:rPr>
            <w:rFonts w:ascii="times" w:eastAsia="times" w:hAnsi="times" w:cs="times"/>
            <w:b w:val="0"/>
            <w:i/>
            <w:strike w:val="0"/>
            <w:noProof w:val="0"/>
            <w:color w:val="0077CC"/>
            <w:position w:val="0"/>
            <w:sz w:val="20"/>
            <w:u w:val="single"/>
            <w:shd w:val="clear" w:color="auto" w:fill="FFFFFF"/>
            <w:vertAlign w:val="baseline"/>
          </w:rPr>
          <w:t>cef@kaynecapital.com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July 1,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Kayne Anderson NextGen Energy &amp; Infrastructure Provides Unaudited Balance Sheet Information and Announces its Net Asset Value and Asset Coverage Ratios at June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kaynefunds.com" TargetMode="External" /><Relationship Id="rId11" Type="http://schemas.openxmlformats.org/officeDocument/2006/relationships/hyperlink" Target="http://www.sec.gov" TargetMode="External" /><Relationship Id="rId12" Type="http://schemas.openxmlformats.org/officeDocument/2006/relationships/hyperlink" Target="mailto:cef@kaynecapital.com"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5TV-6JJ1-F15X-240C-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East Daley: Oil and Gas Production Growth in the U.S. Will Continue to Propel Future Midstream Sector Earnings; Recently released analysis suggests strong earnings for midstream companies with exposure to the Permian Basin, including Energy Transfer (ETP), Enterprise Products Partners (EPD) and Plains All American (PAA), are expected to continue from increasing production growth and marketing profits.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189386373</vt:lpwstr>
  </property>
  <property fmtid="{D5CDD505-2E9C-101B-9397-08002B2CF9AE}" pid="3" name="LADocCount">
    <vt:lpwstr>1</vt:lpwstr>
  </property>
  <property fmtid="{D5CDD505-2E9C-101B-9397-08002B2CF9AE}" pid="4" name="UserPermID">
    <vt:lpwstr>urn:user:PA187706510</vt:lpwstr>
  </property>
</Properties>
</file>