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November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2021 Thursday 4:30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Dec.  02,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November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November 30, 2021, the Fund’s net assets were $415 million and its net asset value per share was $8.79. As of November 30, 2021, the Fund’s asset coverage ratio under the 1940 Act with respect to senior securities representing indebtedness was 488% and the Fund’s asset coverage ratio under the 1940 Act with respect to total leverage (debt and preferred stock) was 361%.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November 30, 2021</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November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November 30, 2021, equity and debt investments were 99% and 1%, respectively, of the Fund’s long-term investments of $572 million. Long-term investments were comprised of Midstream Company (34%), Renewable Infrastructure Company (21%), Natural Gas &amp; LNG Infrastructure Company (21%), Utility Company (20%),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(3%)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November 30, 2021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Sustainable Infrastructure plc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 Excludes cash.** Includes ownership of Brookfield Renewable Partners, L.P (“BEP”) and Brookfield Renewable Corporation (“BEPC”).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Novem....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X-R051-JDPV-B21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March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