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September 30,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October 1, 2021 Friday 4:00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932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Oct.  01, 2021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September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September 30, 2021, the Fund’s net assets were $412 million and its net asset value per share was $8.72. As of September 30, 2021, the Fund’s asset coverage ratio under the 1940 Act with respect to senior securities representing indebtedness was 489% and the Fund’s asset coverage ratio under the 1940 Act with respect to total leverage (debt and preferred stock) was 360%.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49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September 30, 2021</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557.5</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securities sold</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570.6</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(0.7</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157.1</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411.6</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September 30,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September 30, 2021, equity and debt investments were 99% and 1%, respectively, of the Fund’s long-term investments of $558 million. Long-term investments were comprised of Midstream Company (36%), Renewable Infrastructure Company (21%), Natural Gas &amp; LNG Infrastructure Company (20%), Utility Company (20%),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(1%), Other (1%)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September 30, 2021 were: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5760"/>
        <w:gridCol w:w="228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 (Renewable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23.0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(Natural Gas &amp; LNG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21.1</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57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NextEra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Partners, LP (Renewable Infrastructure Company)</w:t>
            </w:r>
          </w:p>
        </w:tc>
        <w:tc>
          <w:tcPr>
            <w:tcW w:w="22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18.4</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57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GP Holdings, L.P. *** (Midstream Company)</w:t>
            </w:r>
          </w:p>
        </w:tc>
        <w:tc>
          <w:tcPr>
            <w:tcW w:w="22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17.4</w:t>
            </w:r>
          </w:p>
        </w:tc>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 Excludes cash.** Includes ownership of Brookfield Renewable Partners, L.P (“BEP”) and Brookfield Renewable Corporation (“BEPC”).*** Includes ownership of Plains GP Holdings, L.P. (“PAGP”) and Plains AAP, L.P. (“PAGP-AAP”).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most recent quarterly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2,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Septe....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RR-4151-F15X-200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Products to Participate in Barclays Energy Conference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