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September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 2022 Monday 4:10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Oct.  03,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September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2022, the Fund’s net assets were $406.5 million and its net asset value per share was $8.61. As of September 30, 2022, the Fund’s asset coverage ratio under the 1940 Act with respect to senior securities representing indebtedness was 486% and the Fund’s asset coverage ratio under the 1940 Act with respect to total leverage (debt and preferred stock) was 358%.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565.3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406.5</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September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2022, equity and debt investments were 99% and 1%, respectively, of the Fund’s long-term investments. Long-term investments were comprised of Midstream Company (38%), Natural Gas &amp; LNG Infrastructure Company (26%), Renewable Infrastructure Company (19%), Utility Company (16%)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September 30,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8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GP Holdings, L.P. (?PAGP?) and Plains AAP, L.P. (?PAGP-AAP?).</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Brookfield Renewable Partners, L.P (?BEP?) and Brookfield Renewable Corporation (?BEPC?).</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Septe....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HW-J611-F15X-207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to Participate in Wolfe Research Utilities, Midstream &amp; Clean Energy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