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Latham Advises ExxonMobil in Its Collaboration on Landmark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-Reduction Project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17,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Los Angeles,: Latham &amp; Watkins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CF Industries, and EnLink Midstream have announced that they have entered into the largest-of-its-kind commercial agreement in Louisiana to capture and permanently store up to two million metric tons of CO2emissions annually, which is equivalent to switching out 700,000 gasoline-powered vehicles for EVs. Start-up for the project is scheduled for early 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Latham &amp; Watkins LLP advised ExxonMobil in the transactions with a Houston-based deal team led by partner Jonathan Castelan, with associates Sam Bentley and Morgen Seim. Advice was also provided on tax matters by Houston partner Jim Cole, with associate Chelsea Muñoz-Patchen; and on environmental matters by Orange County counsel Josh Bledsoe.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19,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Latham Advises ExxonMobil in Its Collaboration on Landmark Emissions-Reduction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N6-6RY1-F0YC-N04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Methane Emissions Study 2021: Newly Proposed EPA Regulations Would Aim to Decrease Methane Emissions 74% by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