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First-Quarter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5, 2020 Tuesday 6:42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4094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May 5,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 xml:space="preserve">Reported first-quarter loss of $9.2 billion, or $(14.25) per diluted share, including pre-tax non-cash charges of $12.4 billion; adjusted loss of $106 million, or $(0.16) per diluted share Cash used in operations of $768 million; cash provided by operations of $1.3 billion, excluding working capital changes Announced business response to COVID-19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single"/>
          <w:vertAlign w:val="baseline"/>
        </w:rPr>
        <w:t>, including $1.4 billion of capital and $950 million of expense reductions Enhanced liquidity by $3.5 billion through senior notes issuance and additional revolver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a net loss of $9.2 billion, or $(14.25) per diluted share, for the first quarter of 2020, compared to a loss of $7 million, or $(0.01) per diluted share, for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First-quarter 2020 results include pre-tax charges of $12.4 billion primarily related to non-cash impairments. Details on these and other adjustments are shown in the accompanying release tables. Adjusted net loss was $106 million, or $(0.16) per diluted share, for the first quarter of 2020, compared to an adjusted net loss of $59 million, or $(0.09) per diluted share, for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global events, including the COVID-19 pandemic and oil price tensions, have been disruptive to the personal and professional lives of many and significantly impacted demand for the transportation fuels we manufacture," said President and Chief Executive Officer Michael J. Hennigan. "In addressing these challenges, first and foremost, we are focused on the health and safety of our employees, our customers, and the communities where we operate. We are grateful for everyone working on the front lines of this pandemic and are proud to do our part by contributing supplies to those affected by this crisis. These are unprecedented times, leading us to make prudent tactical changes for 2020. We believe these proactive steps will help maintain our financial strength, support our investment-grade credit rating, and enhance the through-cycle resiliency of our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announced the following actions in response to the COVID-19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Consolidated capital spending reductions of $1.4 billion, or approximately 30%, which takes expected spending levels down to $3.0 billion for 2020. The reductions are planned across all segments of the business, including: $250 million in refining; $770 million in midstream, which includes MPLX; $250 million in retail; and $80 million in corporate. Remaining capital spend primarily relates to growth projects that are already in progress or spending that supports the safe and reliable operation of our facilities.</w:t>
      </w:r>
      <w:r>
        <w:rPr>
          <w:rFonts w:ascii="times" w:eastAsia="times" w:hAnsi="times" w:cs="times"/>
          <w:b w:val="0"/>
          <w:i w:val="0"/>
          <w:strike w:val="0"/>
          <w:noProof w:val="0"/>
          <w:color w:val="000000"/>
          <w:position w:val="0"/>
          <w:sz w:val="20"/>
          <w:u w:val="single"/>
          <w:vertAlign w:val="baseline"/>
        </w:rPr>
        <w:t>A reduction to forecasted consolidated operating expenses of $950 million in 2020, primarily through reductions of fixed costs and deferral of certain expense projects, which includes $200 million of operating expense reductions at MPLX. Throughput levels have been reduced across the organization, including the temporary idling of some facilities. The company plans to continue to monitor market conditions and optimize crude oil acquisition, refining run rates, and logistics systems to respond on a regional basis. Share repurchases have temporarily been suspended. The company will evaluate the timing of future repurchases as market conditions evolve. The company issued $2.5 billion of senior notes in April. The company also secured an additional $1 billion 364-day revolving credit facility in April. As of May 5, 2020, MPC's total credit capacity, excluding MPLX, is approximately $7.5 billion and available borrowing capacity is approximately $6.75 billion. The company continues to evaluate further actions to enhance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ResultsLoss from operations was $11.8 billion in the first quarter of 2020, compared to income of $669 million in the first quarter of 2019. First-quarter 2020 results include $12.4 billion of non-cash charges.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$1.9 billion in the first quarter of 2020, compared to $1.7 billion for the first quarter of 2019. Adjusted EBITDA excludes refining planned turnaround costs of $329 million for the first quarter of 2020 and $186 million for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segment loss from operations was $622 million in the first quarter of 2020 compared to a loss from operations of $334 million for the first quarter of 2019. The quarter-over-quarter decrease in R&amp;M earnings was primarily due to lower blended crack spreads, lower sweet differentials, and higher planned turnaround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$154 million in the first quarter of 2020, versus $279 million for the first quarter of 2019. Segment adjusted EBITDA excludes refinery planned turnaround costs, which totaled $329 million in the first quarter of 2020 and $186 million in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was $11.30 per barrel for the first quarter of 2020. Crude capacity utilization was 91%, resulting in total throughputs of 3.0 million barrels per day, and clean product yield was 83%.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segment income from operations was $519 million in the first quarter of 2020, compared with $170 million for the first quarter of 2019. Segment EBITDA was $644 million in the first quarter of 2020, versus $296 million for the first quarter of 2019. The increase in quarterly results was primarily due to higher fuel margins, partially offset by lower fuel volume.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 increased to 32.91 cents per gallon in the first quarter of 2020, from 17.15 cents per gallon in the first quarter of 2019. Same-store merchandise sales increased by 0.7% year-over-year and same-store gasoline sales volume decreased by 8.3% year-over-year.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was $905 million in the first quarter of 2020, compared with $908 million for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EBITDA was $1.3 billion in the first quarter of 2020, versus $1.2 billion for the first quarter of 2019. Strong performance in the midstream business was driven by stable, fee-based earnings as well as contributions from organic growth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totaled $12.6 billion of expense in the first quarter of 2020, compared to $75 million in the first quarter of 2019. First quarter 2020 results include a $3.2 billion lower of cost or market inventory charge; $9.1 billion of impairment expense related to goodwill, equity method investments, and long-lived assets; as well as $35 million of costs incurred in connection with the Speedway separation, midstream strategic review, and other related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effective tax rate for the first quarter of 2020 was 16%, primarily due to the effect of non-tax deductible goodwill impairments.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2020, the company had $1.6 billion in cash and cash equivalents (excluding MPLX's cash and cash equivalents of $57 million), $3 billion available under a five-year bank revolving credit facility, $1 billion available under a 364-day bank revolving credit facility, and $750 million available under its trade receivables securitization facility. MPC drew $2 billion on the five-year bank revolving credit facility in the first quarter of 2020. This borrowing was undertaken to provide financial flexibility given the recent commodity price downturn and the significant working capital impact associated with the decline in crude oil prices. The company has made borrowings to manage the impact of working capital in the past and expects to do so from time to time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mid-April, the company borrowed an incremental $1.5 billion on the five-year bank revolving credit facility. In late April, the company issued $2.5 billion of senior notes. Net proceeds were used to repay amounts outstanding on the five-year revolving credit facility. Also in late April, the company added an additional $1 billion 364-day revolver.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5, 2020, the company had total credit capacity, excluding MPLX, of $7.5 billion, comprised of $5 billion on the five-year bank revolving credit facility, $2 billion under two 364-day bank revolving credit facilities, and $517 million under a trade receivables securitization facility. Of this amount, $6.75 billion is undrawn and available.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the quarter, the company announced the unanimous decision of its Board of Directors to maintain MPC's current midstream structure, with the company remaining the general partner of MPLX. MPC continues to target fourth quarter 2020 for the completion of the separation of Speedway, however timing could change given the COVID-19 related impacts to the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access to capital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MPC's midstream strategy of developing long-haul pipelines and other logistics solutions, the company progressed several projects during the quarter, including the Wink-to-Webster crude oil pipeline, the Whistler natural gas pipeline, and the reversal of the Capline crude pipeline. Each of these projects is backed by minimum volume commitments from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the Gray Oak pipeline began full service on April 1, 2020. The Gray Oak pipeline connects to multiple terminals, including the South Texas Gateway terminal, which is expected to start up in the third quarter of 2020. MPC owns a 25% interest in both the Gray Oak pipeline and the South Texas Gateway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keeping with the company's retail strategy of driving merchandise growth and operating cost efficiencies, Speedway continues to expand its brand through store conversions, completing 39 store conversions in the quarter prior to suspending activities due to impacts from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refining, growth capital spend is primarily focused on high-return projects that are in progress or spending that supports the safe and reliable operation of our facilities. At Garyville, the second phase of the coker project was completed in the first quarter of 2020. Construction continues on the Dickinson Renewable Diesel project, which remains on schedule for planned completion in late 2020. The project will convert the Dickinson refinery into a 12,000 barrel per day biorefinery capable of producing renewable diesel from corn and soybean oil. MPC intends to sell the renewable diesel into the California market to comply with the California Low Carbon Fuel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 Quarter 2020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9:30 a.m. ET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xml:space="preserve"> and clicking on the "Join the Webcast" link. A replay of the webcast will be available on the company's website for two weeks. Financial information, including the earnings release and other investor-related material, will also be available online prior to the conference call and webcast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which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the effects of the recent outbreak of COVID-19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the effects of the recent outbreak of COVID-19, and the current 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generally, on our working capital, cash flows and liquidity, which can be significantly affected by decreases in commodity prices; our ability to reduce capital and operating expenses;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our ability to satisfy customary conditions, including obtaining regulatory approvals, and the ability to achieve the strategic and other objectives discussed herein; with respect to the Midstream review, our ability to achieve the strategic and other objectives related thereto; the risk that the cost savings and any other synergies from the Andeavor transaction may not be fully realized or may take longer to realize than expected; disruption from the Andeavor transaction making it more difficult to maintain relationships with customers, employees or suppliers; risks relating to any unforeseen liabilities of Andeavor; risks related to the acquisition of Andeavor Logistics LP by MPLX LP (MPLX), including the risk that anticipated opportunities and any other synergies from or anticipated benefits of the transaction may not be fully realized or may take longer to realize than expected, including whether the transaction will be accretive within the expected timeframe or at all, or disruption from the transaction making it more difficult to maintain relationships with customers, employees or suppliers; the risk of further impairments; the ability to complete any divestitures on commercially reasonable terms and/or within the expected timeframe, and the effects of any such divestitures on the business, financial condition, results of operations and cash flows; future levels of revenues, refining and marketing margins, operating costs, retail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and to effect any share repurchases or to maintain or increase the dividend;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as a result of the COVID-19 pandemic, other infectious disease outbreaks or otherwise; non-payment or non-performance by our producer and other customers;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Form 10-K, Forms 10-Q and other SEC filings are available on the SEC's website, MPLX's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MPCAdjusted net income attributable to MPC is defined as net income attributable to MPC excluding the items in the table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Operating Cash Flow Before Changes in Working CapitalOperating cash flow before changes in working capital is defined as net cash provided by (used in) operations less changes in current receivables, inventories, current accounts payable and accrued liabilities, the fair value of derivative instruments and right of use assets and operating lease liabilities. We believe operating cash flow before changes in working capital is useful as it is indicative of cash received or used for operations based on current operating conditions without the effects of working capital account fluctuations that result from commodity price changes, timing of cash collections, inventory purchases or accounts payable payments as compared to the prior year end reporting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&amp; Segment Adjusted EBITDAAdjusted EBITDA and Segment Adjusted EBITDA represent earnings before net interest and other financial costs, income taxes, depreciation and amortization expense as well as adjustments to exclude refining turnaround costs, items not allocated to segment results and other items shown in the table below. We believe these non-GAAP financial measures are useful to investors and analysts to analyze and compare our operating performance between periods by excluding items that do not reflect the core operating results of our business or in the case of turnarounds, which provide benefits over multiple years. We also believe that excluding turnaround costs from this metric is useful for comparability to other companies as certain of our competitors defer these costs and amortize them between turnarounds. Adjusted EBITDA and Segment Adjusted EBITDA should not be considered as a substitute for, or superior to segment income (loss) from operations, net income attributable to MPC, income before income taxes, cash flows from operating activities or any other measure of financial performance presented in accordance with GAAP. Adjusted EBITDA and Segment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MarginRetail fuel margin is defined as the price paid by consumers or direct dealers less the cost of refined products, including transportation, consumer excise taxes and bankcard processing fees (where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Merchandise MarginRetail merchandise margin is defined as the price paid by consumers less the cost of merchandise.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content:http://www.prnewswire.com/news-releases/marathon-petroleum-corp-reports-first-quarter-2020-results-301052811.html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5,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First-Quarter 2020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 TargetMode="External" /><Relationship Id="rId11" Type="http://schemas.openxmlformats.org/officeDocument/2006/relationships/hyperlink" Target="https://www.marathonpetroleum.com/Investors/or" TargetMode="External" /><Relationship Id="rId12" Type="http://schemas.openxmlformats.org/officeDocument/2006/relationships/hyperlink" Target="http://ir.mplx.como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TY-5YJ1-JB72-1507-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First-Quarter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