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New Environmental, Social and Governance Report Highlights Exelon’s Efforts To Create A Cleaner, Brighter Energy Future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5,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538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Exelon Corporation (EXCU)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today announced the release of its Environmental, Social and Governance Report (ESG) for investors as part of the company’s ongoing commitment to transparency on its corporate social responsibility strategy and performance. The report highlights Exelon’s efforts to address the climate crisis and build a cleaner, more resilient energy grid; foster diversity, equity and inclusion both within the company and externally; conduct its business ethically and in compliance with governance best practices; and create economic opportunity and empower customers and communities through educational programs, support for nonprofits and workforce development programs, among other things. This investor report complements the Exelon Corporate Sustainability Report, issued annually since 2002.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“These values have been at the core of our business since our company’s founding, when we launched a strategy to build the nation’s cleanest power generation fleet, create a workforce that reflects our communities, operate responsibly and transparently, and partner with the organizations working to make a more equitable and just world,” said Chris Crane, president and CEO of Exelon. “We have always been committed to doing what is right for our employees, customers and communities, and this report helps us track our progress and hold ourselves accountable.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outlines Exelon’s record as the nation’s largest producer of carbon-free energy and its strong advocacy for state and federal energy policies that eliminate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energy sector. The report also notes the company’s recognition as a top employer for diversity by Human Rights Campaign, Diversity Inc. and Forbes Magazine, and details its strong governance structure, including the implementation of four new ethics policies that expand oversight over the company’s interactions with public officials. The report also highlights that Exelon:</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Is driving a zero-carbon transition through its $20 million Climate Change Investment Initiative (2c2iSM) targeting investments in emerging electrification, storage, and energy capture technologies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Helped utility customers save more than 22.3 million megawatt-hours of electricity through its energy efficiency programs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Working to electrify 30 percent of its utility vehicle fleet (light and heavy-duty) by 2025 and 50% by 2030</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Sponsors more than 45 workforce development programs to address economic inequities in our communities</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Gave more than $51 million in charitable contributions and nearly 251,000 employee volunteer hours in 2019</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Implemented an effective COVID-19 response, including additional safeguards and benefits for employees, temporary late fee and disconnection moratoriums and financial assistance programs for customers and $7.9million of charitable donations in our communities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Has a gender and racially diverse board of directors that is made up of 92 percent independent directors</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Has an Executive Committee that is 50 percent women or people of color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Exelon’s 2020 ESG reportwill be updated concurrent with the release of the company’s Corporate Sustainability Report, issued annually in the second quarter of the year.</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5,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New Environmental, Social and Governance Report Highlights Exelon’s Efforts To Create A Cleaner, Brighter Energy Future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XV-NSS1-F0YC-N0X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Foundation and Exelon Corporation Select Nine Startups in Third Round of Climate Change Investment Initiative; 2023 application process now open for startups addressing climate change in Atlantic City, Baltimore, Chicago, Philadelphia, Washington, D.C., and Wilmington, Del.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