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Offer to Acquire Outstanding Publicly Held Common Units of DCP Midstream, LP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17, 2022 Wednesday 9:06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1719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Concurrent with Phillips 66's (NYSE: PSX) announcement of the realignment of economic and governance interests in DCP Midstream, LP (DCP Midstream), Phillips 66 also announced today it has submitted a non-binding proposal to the board of directors of the general partner of DCP Midstream offering to acquire all publicly held common units of DCP Midstream for cash. Subject to negotiation and execution of a definitive agreement, Phillips 66 is proposing consideration of $34.75 for each outstanding publicly-held common unit of DCP Midstream as part of a transaction that would be structured as a merger of DCP Midstream with an indirect subsidiary of Phillips 66 with DCP Midstream as the surviving entity.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proposed transaction is subject to the negotiation and execution of a definitive agreement and approval of such definitive agreement and transactions contemplated thereunder by the board of directors of the general partner of DCP Midstream and a conflicts committee thereof. The consummation of the proposed transaction would also be subject to customary closing conditions. There can be no assurance that any such approvals will be forthcoming, that a definitive agreement will be executed or that any transaction will be consummated.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engaged Barclay's Capital Inc. as financial advisor and Bracewell LLP as legal counsel. For more information regarding Phillips 66's previous announcement of the realignment of economic and governance interests in DCP Midstream, refer to the </w:t>
      </w:r>
      <w:hyperlink r:id="rId9" w:history="1">
        <w:r>
          <w:rPr>
            <w:rFonts w:ascii="times" w:eastAsia="times" w:hAnsi="times" w:cs="times"/>
            <w:b w:val="0"/>
            <w:i/>
            <w:strike w:val="0"/>
            <w:noProof w:val="0"/>
            <w:color w:val="0077CC"/>
            <w:position w:val="0"/>
            <w:sz w:val="20"/>
            <w:u w:val="single"/>
            <w:shd w:val="clear" w:color="auto" w:fill="FFFFFF"/>
            <w:vertAlign w:val="baseline"/>
          </w:rPr>
          <w:t>Strategic Joint Venture Update</w:t>
        </w:r>
      </w:hyperlink>
      <w:r>
        <w:rPr>
          <w:rFonts w:ascii="times" w:eastAsia="times" w:hAnsi="times" w:cs="times"/>
          <w:b w:val="0"/>
          <w:i w:val="0"/>
          <w:strike w:val="0"/>
          <w:noProof w:val="0"/>
          <w:color w:val="000000"/>
          <w:position w:val="0"/>
          <w:sz w:val="20"/>
          <w:u w:val="none"/>
          <w:vertAlign w:val="baseline"/>
        </w:rPr>
        <w:t xml:space="preserve"> available on the Phillips 66 Investors site,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phillips66.com/investors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 and Where You Can Find It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communication does not constitute a solicitation of any vote or approval with respect to the proposed transaction. This communication relates to a proposed business combination between Phillips 66 and DCP Midstream, LP ("DCP Midstream"). In connection with the proposed transaction, subject to further developments and if a transaction is agreed, Phillips 66 and DCP Midstream expect to file an information statement and other documents with the U.S. Securities and Exchange Commission ("SEC"). INVESTORS AND SECURITYHOLDERS OF PHILLIPS 66 AND DCP MIDSTREAM ARE ADVISED TO CAREFULLY READ ANY INFORMATION STATEMENT AND ANY OTHER DOCUMENTS THAT HAVE BEEN FILED OR MAY BE FILED WITH THE SEC (INCLUDING ALL AMENDMENTS AND SUPPLEMENTS THERETO) IF AND WHEN THEY BECOME AVAILABLE BECAUSE THEY WILL CONTAIN IMPORTANT INFORMATION ABOUT THE TRANSACTION, THE PARTIES TO THE TRANSACTION AND THE RISKS ASSOCIATED WITH THE TRANSACTION. Any definitive information statement, if and when available, will be sent to securityholders of DCP Midstream relating to the proposed transaction. Investors and securityholders may obtain a free copy of such documents and other relevant documents (if and when available) filed by Phillips 66 or DCP Midstream with the SEC from the SEC's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Securityholders and other interested parties will also be able to obtain, without charge, a copy of such documents and other relevant documents (if and when available) from Phillips 66's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under the "Investors" tab under the heading "SEC Filings" under the "Financial Information" sub-tab or from DCP Midstream's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www.dcpmidstream.com</w:t>
        </w:r>
      </w:hyperlink>
      <w:r>
        <w:rPr>
          <w:rFonts w:ascii="times" w:eastAsia="times" w:hAnsi="times" w:cs="times"/>
          <w:b w:val="0"/>
          <w:i w:val="0"/>
          <w:strike w:val="0"/>
          <w:noProof w:val="0"/>
          <w:color w:val="000000"/>
          <w:position w:val="0"/>
          <w:sz w:val="20"/>
          <w:u w:val="none"/>
          <w:vertAlign w:val="baseline"/>
        </w:rPr>
        <w:t xml:space="preserve"> under the "Investors" tab and the "SEC Filings" sub-tab.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Participants in the Solicitation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DCP Midstream and their respective directors, executive officers and certain other members of management may be deemed to be participants in the solicitation of consents in respect of the transaction. Information about these persons is set forth in Phillips 66's proxy statement relating to its 2022 Annual Meeting of Stockholders, which was filed with the SEC on March 31, 2022; Phillips 66's Annual Report on Form 10-K, which was filed with the SEC on February 18, 2022; certain of Phillips 66's Current Reports on Form 8-K; DCP Midstream's Annual Report on Form 10-K for the year ended December 31, 2021, which was filed with the SEC on February 18, 2022, and subsequent statements of changes in beneficial ownership on file with the SEC. Securityholders and investors may obtain additional information regarding the interests of such persons, which may be different than those of the respective companies' securityholders generally, by reading the information statement and other relevant documents regarding the transaction (if and when available), which may be filed with the SEC.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release contains certain forward-looking statements. Words and phrases such as "anticipated," "estimated," "expected," "planned," "scheduled,"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Forward-looking statements contained in this release include, but are not limited to, statements regarding the expected benefits of the potential transaction to Phillips 66 and its shareholders and DCP Midstream and its unitholders, and the anticipated consummation of the proposed transaction and the timing thereof. Factors that could cause actual results or events to differ materially from those described in the forward-looking statements include: uncertainties as to the timing to consummate the potential transaction; the effects of disruption to Phillips 66's or DCP Midstream's respective businesses; the effect of this communication on the price of Phillips 66's shares or DCP Midstream's common units; transaction costs; Phillips 66's ability to achieve benefits from the proposed transaction; and the diversion of management's time on transaction-related issues. Other factors that could cause actual results to differ from those in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14"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5"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6"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7"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https://www.businesswire.com/news/home/20220817005678/en/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jeff.dietert@p66.com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9" w:history="1">
        <w:r>
          <w:rPr>
            <w:rFonts w:ascii="times" w:eastAsia="times" w:hAnsi="times" w:cs="times"/>
            <w:b w:val="0"/>
            <w:i/>
            <w:strike w:val="0"/>
            <w:color w:val="0077CC"/>
            <w:sz w:val="20"/>
            <w:u w:val="single"/>
            <w:shd w:val="clear" w:color="auto" w:fill="FFFFFF"/>
            <w:vertAlign w:val="baseline"/>
          </w:rPr>
          <w:t>shannon.m.holy@p66.com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20"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2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Offer to Acquire Outstanding Publicly Held Common Units of DCP Midstream,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investor.phillips66.com%2Finvestors%2Fdefault.aspx&amp;esheet=52817618&amp;newsitemid=20220817005678&amp;lan=en-US&amp;anchor=phillips66.com%2Finvestors&amp;index=2&amp;md5=a46d5aec1c7b62605475ba28edad6213" TargetMode="External" /><Relationship Id="rId11" Type="http://schemas.openxmlformats.org/officeDocument/2006/relationships/hyperlink" Target="https://cts.businesswire.com/ct/CT?id=smartlink&amp;url=http%3A%2F%2Fwww.sec.gov&amp;esheet=52817618&amp;newsitemid=20220817005678&amp;lan=en-US&amp;anchor=www.sec.gov&amp;index=3&amp;md5=113e1ffe1df02bc09095c91cd1c7c970" TargetMode="External" /><Relationship Id="rId12" Type="http://schemas.openxmlformats.org/officeDocument/2006/relationships/hyperlink" Target="https://cts.businesswire.com/ct/CT?id=smartlink&amp;url=http%3A%2F%2Fwww.phillips66.com&amp;esheet=52817618&amp;newsitemid=20220817005678&amp;lan=en-US&amp;anchor=www.phillips66.com&amp;index=4&amp;md5=35689959e0990481f0bf0792ac050f0b" TargetMode="External" /><Relationship Id="rId13" Type="http://schemas.openxmlformats.org/officeDocument/2006/relationships/hyperlink" Target="https://cts.businesswire.com/ct/CT?id=smartlink&amp;url=http%3A%2F%2Fwww.dcpmidstream.com&amp;esheet=52817618&amp;newsitemid=20220817005678&amp;lan=en-US&amp;anchor=www.dcpmidstream.com&amp;index=5&amp;md5=1766e32cd04f9ffed9cf1aa109fa14de" TargetMode="External" /><Relationship Id="rId14" Type="http://schemas.openxmlformats.org/officeDocument/2006/relationships/hyperlink" Target="https://cts.businesswire.com/ct/CT?id=smartlink&amp;url=https%3A%2F%2Fwww.phillips66.com&amp;esheet=52817618&amp;newsitemid=20220817005678&amp;lan=en-US&amp;anchor=phillips66.com&amp;index=6&amp;md5=314fdde287ce584f2f1cc55419fe1206" TargetMode="External" /><Relationship Id="rId15" Type="http://schemas.openxmlformats.org/officeDocument/2006/relationships/hyperlink" Target="https://cts.businesswire.com/ct/CT?id=smartlink&amp;url=https%3A%2F%2Fwww.linkedin.com%2Fcompany%2Fphillips66co&amp;esheet=52817618&amp;newsitemid=20220817005678&amp;lan=en-US&amp;anchor=LinkedIn&amp;index=7&amp;md5=24e80641cc4fe8e7d6280843078b30e0" TargetMode="External" /><Relationship Id="rId16" Type="http://schemas.openxmlformats.org/officeDocument/2006/relationships/hyperlink" Target="https://cts.businesswire.com/ct/CT?id=smartlink&amp;url=https%3A%2F%2Ftwitter.com%2FPhillips66Co&amp;esheet=52817618&amp;newsitemid=20220817005678&amp;lan=en-US&amp;anchor=Twitter&amp;index=8&amp;md5=fb11929e044219621248469b6db6b596" TargetMode="External" /><Relationship Id="rId17" Type="http://schemas.openxmlformats.org/officeDocument/2006/relationships/hyperlink" Target="https://www.businesswire.com/news/home/20220817005678/en/" TargetMode="External" /><Relationship Id="rId18" Type="http://schemas.openxmlformats.org/officeDocument/2006/relationships/hyperlink" Target="mailto:jeff.dietert@p66.com" TargetMode="External" /><Relationship Id="rId19" Type="http://schemas.openxmlformats.org/officeDocument/2006/relationships/hyperlink" Target="mailto:shannon.m.holy@p66.com" TargetMode="External" /><Relationship Id="rId2" Type="http://schemas.openxmlformats.org/officeDocument/2006/relationships/webSettings" Target="webSettings.xml" /><Relationship Id="rId20" Type="http://schemas.openxmlformats.org/officeDocument/2006/relationships/hyperlink" Target="mailto:thaddeus.f.herrick@p66.com" TargetMode="External" /><Relationship Id="rId21" Type="http://schemas.openxmlformats.org/officeDocument/2006/relationships/hyperlink" Target="http://www.businesswire.com"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5V-KBB1-JBG1-84J0-00000-00&amp;context=1516831" TargetMode="External" /><Relationship Id="rId9" Type="http://schemas.openxmlformats.org/officeDocument/2006/relationships/hyperlink" Target="https://cts.businesswire.com/ct/CT?id=smartlink&amp;url=https%3A%2F%2Fphillips66.widen.net%2Fs%2Fljhshwwmc9%2Fdcp-strategic-update&amp;esheet=52817618&amp;newsitemid=20220817005678&amp;lan=en-US&amp;anchor=Strategic+Joint+Venture+Update&amp;index=1&amp;md5=ff976bc3f0e1aa8195be3510cffa51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Offer to Acquire Outstanding Publicly Held Common Units of DCP Midstream, 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