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Releases Inaugural Human Capital Management Report; The report gives a detailed look at the company's culture, workforce metrics and benefits.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11, 2021 Thursday 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today published its inaugural Human Capital Management Report, a comprehensive look at the company's approach to building a high-performing organization, with workforce metrics, details on the employee experience, and insight on the culture that makes Phillips 66 a premier workplace for its 14,300 employees.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people are among the brightest in the industry," said Phillips 66 Chairman and CEO Greg Garland. "Creating an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where they can thrive helps our company play a pivotal role in solving one of the most important issues of our time: how to meet the world's growing energy needs while achieving a lower-carbon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chronicles some of the company's responses to the unprecedented challenges of 2020, including the pandemic, a series of natural disasters and social unrest. Garland, noting the company's achievements during the volatile year, said 2020 "revealed in our people a remarkable ability to innovate, solve problems creatively, work together and achieve excellence."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Phillips 66 report covers, among other things: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key principles that shape the company's human capital management strategy.</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66's efforts to build a more inclusive and diverse workforce.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The benefits that cultivate an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where all employees can thrive.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full report can be found at </w:t>
      </w:r>
      <w:hyperlink r:id="rId9" w:history="1">
        <w:r>
          <w:rPr>
            <w:rFonts w:ascii="times" w:eastAsia="times" w:hAnsi="times" w:cs="times"/>
            <w:b w:val="0"/>
            <w:i/>
            <w:strike w:val="0"/>
            <w:noProof w:val="0"/>
            <w:color w:val="0077CC"/>
            <w:position w:val="0"/>
            <w:sz w:val="20"/>
            <w:u w:val="single"/>
            <w:shd w:val="clear" w:color="auto" w:fill="FFFFFF"/>
            <w:vertAlign w:val="baseline"/>
          </w:rPr>
          <w:t>https://phillips66.com/hcmr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14,300 employees committed to safety and operating excellence. Phillips 66 had $55 billion of assets as of Dec. 31, 2020.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https://www.businesswire.com/news/home/20210311005549/en/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Allison Stowe, 855-841-2368 (media)</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allison.stowe@p66.com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Releases Inaugural Human Capital Management Report; The report gives a detailed look at the company's culture, workforce metrics and benefits.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amp;esheet=52394172&amp;newsitemid=20210311005549&amp;lan=en-US&amp;anchor=www.phillips66.com&amp;index=2&amp;md5=c93001d973db97e4f8c85695cb2f7f35" TargetMode="External" /><Relationship Id="rId11" Type="http://schemas.openxmlformats.org/officeDocument/2006/relationships/hyperlink" Target="https://cts.businesswire.com/ct/CT?id=smartlink&amp;url=http%3A%2F%2Ftwitter.com%2FPhillips66Co&amp;esheet=52394172&amp;newsitemid=20210311005549&amp;lan=en-US&amp;anchor=%40Phillips66Co&amp;index=3&amp;md5=dca1949413556b13f3043c109f86d21f" TargetMode="External" /><Relationship Id="rId12" Type="http://schemas.openxmlformats.org/officeDocument/2006/relationships/hyperlink" Target="https://www.businesswire.com/news/home/20210311005549/en/" TargetMode="External" /><Relationship Id="rId13" Type="http://schemas.openxmlformats.org/officeDocument/2006/relationships/hyperlink" Target="mailto:allison.stowe@p66.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62-NXY1-JBG1-82KR-00000-00&amp;context=1516831" TargetMode="External" /><Relationship Id="rId9" Type="http://schemas.openxmlformats.org/officeDocument/2006/relationships/hyperlink" Target="https://cts.businesswire.com/ct/CT?id=smartlink&amp;url=https%3A%2F%2Fphillips66.com%2Fhcmr&amp;esheet=52394172&amp;newsitemid=20210311005549&amp;lan=en-US&amp;anchor=https%3A%2F%2Fphillips66.com%2Fhcmr&amp;index=1&amp;md5=007affac57dbcb0330c4530dfb5ab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Releases Inaugural Human Capital Management Report; The report gives a detailed look at the company's culture, workforce metrics and benefits.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