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Third-Quarter 2020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30, 2020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4351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a third-quarter 2020 loss of $799 million, compared with a loss of $141 million in the second quarter of 2020. Excluding special items of $798 million in the third quarter, primarily an impairment related to the planned conversion of the San Francisco Refinery to a renewable fuels plant, the company had an adjusted loss of $1 million, compared with a second-quarter adjusted loss of $324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diversified, integrated portfolio helped us navigate a challenging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the third quarter," said Greg Garland, chairman and CEO of Phillips 66. "Our Midstream, Chemicals and Marketing businesses benefited from improved market conditions, while Refining continued to be impacted by weak margins. We advanced our growth strategy with the recent startup of Sweeny Fracs 2 and 3, marking completion of the Sweeny Hub phase 2 expansion. Also, we announced Rodeo Renewed, a project to reconfigure our San Francisco Refinery into the world's largest renewable fuels plant, making investments that advance a lower 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proud of how our employees continue to step up to the challenges of 2020, from the pandemic to the West Coast fires and the Gulf Coast hurricanes. Our response to the storms in particular underscored our commitment to operating excellence, as our facilities were secured and sustained minimal damage. The people of Phillips 66 continue to demonstrate our values of providing energy and improving lives in what has been a very uncertain and challenging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diversified businesses, strong balance sheet and disciplined capital allocation enable us to effectively manage through a low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paid $393 million in dividends in the third quarter and are committed to a secure, competitive and growing dividend. We remain focused on creating value for shareholders through operating excellence, financial discipline and return-enhancing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36"/>
        <w:gridCol w:w="600"/>
        <w:gridCol w:w="1440"/>
        <w:gridCol w:w="236"/>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third-quarter pre-tax income was $146 million, compared with $324 million in the second quarter. Midstream results in the third quarter included a $120 million impairment of pipeline and terminal assets related to the planned conversion of the San Francisco Refinery to a renewable fuels plant, an $84 million impairment related to the cancellation of the Red Oak Pipeline project, $3 million of pension settlement expense and $1 million of hurricane-related costs. Second-quarter results included an $84 million gain related to Phillips 66 Partners' prior-year sale of an interest in the Gray Oak Pipeline, as well as $5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third-quarter adjusted pre-tax income of $202 million was $72 million higher than the second quarter. The increase was primarily due to higher pipeline and terminal volumes, including ramp-up of volumes on the Gray Oak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$102 million in the third quarter, compared with $83 million in the second quarter. The improvement was mainly due to higher Sweeny Hub volumes and inventory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third-quarter adjusted pre-tax income of $50 million, an $18 million increase from the prior quarter, mainly reflecting hedging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36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third-quarter 2020 pre-tax income was $231 million, compared with $42 million in the second quarter of 2020. Chemicals results in the third quarter included a $101 million benefit to equity earnings from lower-of-cost-or-market inventory adjustments, partially offset by $2 million of hurricane-related costs. Second-quarter results included reductions to equity earnings of $32 million in lower-of-cost-or-market inventory adjustments, as well as a $15 million asset write-off related to an international joint venture.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$148 million of adjusted pre-tax income in the third quarter of 2020, compared with $106 million in the second quarter. The $42 million increase was primarily due to higher polyethylene margins, driven by improved sales prices, partially offset by lower polyethylene volumes and higher operating costs. Global O&amp;P utilization was 94% for the quarter, reflecting downtime at U.S. Gulf Coast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third-quarter adjusted pre-tax income of $5 million, compared with $11 million in the second quarter. The decrease was primarily due to lower margins, partially offset by higher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$7 million decrease in Other adjusted net costs in the third quarter mainly reflects lower employee-related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36"/>
        <w:gridCol w:w="1560"/>
        <w:gridCol w:w="1560"/>
        <w:gridCol w:w="236"/>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third-quarter pre-tax loss of $1.9 billion, compared with a pre-tax loss of $878 million in the second quarter. Refining results in the third quarter included a $910 million impairment related to the planned conversion of the San Francisco Refinery to a renewable fuels plant, $12 million of pension settlement expense and $11 million of hurricane-related costs. Second-quarter results included $26 million of pension settlement expense and a $15 million benefit to equity earnings from a lower-of-cost-or-market inventory adjustment.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an adjusted pre-tax loss of $970 million in the third quarter of 2020, compared with an adjusted pre-tax loss of $867 million in the second quarter of 2020. The decreased results were largely driven by lower realized margins, partially offset by higher volumes. Realized margins were down 32% to $1.78 per barrel in the third quarter, reflecting tightening crude spreads and lower secondary product margins. Phillips 66's worldwide crude utilization rate was 77% in the third quarter, up from 75% in the second quarter. Improved third-quarter utilization mainly reflects increased refining runs in the Central Corridor and West Coast regions, partially offset by downtime at Gulf Coast refineries, including the impact of hurricane-related third-party power outages at the Lake Charles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third quarter were $41 million, compared with second-quarter costs of $38 million. Clean product yield was 85%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third-quarter pre-tax income was $415 million, compared with $286 million in the second quarter of 2020. M&amp;S results in the third quarter included hurricane-related costs of $1 million and pension settlement expense of $1 million. Second-quarter results included $4 million of pension settlement expense and a $3 million reduction to equity earnings from a lower-of-cost-or-market inventory adjustment.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$366 million in the third quarter of 2020, an increase of $107 million from the second quarter of 2020. The increase primarily reflects higher margins and volumes, driven by improved market conditions and demand recovery. Refined product exports in the third quarter were 139,000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third-quarter adjusted pre-tax income of $51 million, up from $34 million in the second quarter. The increase was largely due to higher finished lubricant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third-quarter pre-tax costs were $239 million, compared with pre-tax costs of $219 million in the second quarter. Pre-tax costs in the third quarter included a $25 million asset impairment, and second-quarter pre-tax costs included $8 million of net interest benefits related to tax audit adjustments. Pre-tax costs also included pension settlement expense of $1 million and $3 million in the third quarter and second quarter,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$11 million decrease in Corporate and Other adjusted pre-tax costs in the third quarter was mainly driven by lower employee-related expenses, partially offset by higher net interest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$491 million in cash from operations during the third quarter, including $305 million of cash distributions from equity affiliates. Excluding working capital impacts, operating cash flow was $795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expenditures and investments in the third quarter were $552 million. Excluding $3 million of capital funded by Gray Oak joint venture partners, adjusted capital spending was $549 million. The company expects 2020 consolidated capital expenditures and investments to be $3 billion, and adjusted capital spending to be $2.9 billion, net of cash capital contributions from joint venture partners. Phillips 66 paid $393 million in dividends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 30, 2020, Phillips 66 had $7 billion of liquidity, reflecting $1.5 billion of cash and cash equivalents and approximately $5.5 billion of total committed capacity under its revolving credit facilities. Consolidated debt was $14.5 billion at Sept. 30, 2020, including $3.8 billion at Phillips 66 Partners (PSXP). The company's consolidated debt-to-capital ratio was 39% and its net debt-to-capital ratio was 37%. Excluding PSXP, the debt-to-capital ratio was 35% and the net debt-to-capital ratio was 32%.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has completed the two new 150,000 BPD fractionators at its Sweeny Hub, bringing the site's total fractionation capacity to 400,000 BPD. Frac 2 reached full rates in September, and Frac 3 started operations in October. The fractionators are supported by long-term customer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continued construction of the C2G Pipeline, a 16 inch ethane pipeline that will connect its Clemens Caverns storage facility to petrochemical facilities in Gregory, Texas, near Corpus Christi, Texas. The project is backed by long-term commitments and is expected to be completed in mid-2021.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South Texas Gateway Terminal, which is being constructed by Buckeye Partners, L.P., the first dock and 5.1 million barrels of storage capacity have been commissioned. Marine and terminal operations will continue to ramp up through the end of this year as additional phases of construction are completed. Upon project completion in the first quarter of 2021, the marine export terminal will have two deepwater docks with up to 800,000 BPD of throughput capacity, along with storage capacity of 8.6 million barrels. Phillips 66 Partners owns a 25% interest in the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adding a 200,000 BPD dock at its Beaumont Terminal, bringing the terminal's total dock capacity to 800,000 BPD. The new dock is expected to be completed in the fourth quarter of 2020. The terminal has total crude and product storage capacity of 16.8 million barrels.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and Qatar Petroleum are jointly pursuing development of petrochemical facilities on the U.S. Gulf Coast and in Ras Laffan, Qatar. CPChem is closely monitoring economic developments and has deferred final investment decision for its U.S. Gulf Coast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CPChem announced its first U.S. commercial-scale production of polyethylene from recycled mixed-waste plastics. CPChem is using advanced recycling technology to convert plastic waste to valuable liquids that can become new petrochemicals. CPChem's circular polyethylene matches the performance and safety specifications of traditional polymers.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announced Rodeo Renewed, a project to reconfigure its San Francisco Refinery in Rodeo, California, to meet the growing demand for renewable fuels. The plant would no longer produce fuels from crude oil, but instead would make fuels from used cooking oil, fats, greases, soybean oils and other feedstocks. Upon expected completion in early 2024, the facility would have over 50,000 BPD, or 800 million gallons per year, of renewable fuel production capacity, making it the world's largest facility of its kind. The conversion is expected to reduce the plant's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 and help California meet its low carbon objectives.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the company continues its program to roll out updated signature image designs for Phillips 66, 76 and Conoco branded sites in the United States. During the quarter, 284 sites were reimaged. Since the program's inception in 2015, approximately 5,000 sites have been reimaged.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Europe, the company continues its program to update signature image designs for JET branded sites. During the quarter, 31 sites were reimaged. Since the program's inception in 2019, 143 sites have been reimaged.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third-quarter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600"/>
        <w:gridCol w:w="600"/>
        <w:gridCol w:w="960"/>
        <w:gridCol w:w="236"/>
        <w:gridCol w:w="6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712</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839</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1,402</w:t>
            </w:r>
          </w:p>
        </w:tc>
        <w:tc>
          <w:tcPr>
            <w:tcW w:w="13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14,500 employees committed to safety and operating excellence. Phillips 66 had $54 billion of assets as of Sept. 30, 2020.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the operation, financing and distribution decisions of equity affiliates we do not control;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 This release also includes a "debt-to-capital ratio excluding PSXP." This non-GAAP measure is provided to differentiate the capital structure of Phillips 66 compared with that of Phillips 66 Partners. This release includes "adjusted capital spending," a non-GAAP financial measure that demonstrates the portion of total consolidated capital expenditures and investments funded by Phillips 66. This release also includes "realized refining margin," a non-GAAP financial measure that demonstrates how well we performed relative to benchmark industry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840"/>
        <w:gridCol w:w="720"/>
        <w:gridCol w:w="960"/>
        <w:gridCol w:w="236"/>
        <w:gridCol w:w="60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5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2020 is based on adjusted weighted-average diluted shares outstanding of 440,156 thousand, 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1080"/>
        <w:gridCol w:w="236"/>
        <w:gridCol w:w="960"/>
        <w:gridCol w:w="10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 30, 2020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320" w:type="dxa"/>
            <w:gridSpan w:val="3"/>
            <w:tcBorders>
              <w:bottom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3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w:t>
            </w: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Excluding PSXP</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14,526</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10,743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22,305</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2,549</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19,756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1,462</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*PSXP's third-party debt and Phillips 66's noncontrolling interests attributable to PSXP.</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84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losses of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(income) expense,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150,016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146,668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168,313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161,957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divided by total processed inputs.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https://www.businesswire.com/news/home/20201030005131/en/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30,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Third-Quarter 2020 Financial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317096&amp;newsitemid=20201030005131&amp;lan=en-US&amp;anchor=www.phillips66.com%2Fsupplemental&amp;index=2&amp;md5=1d33fe54a4b4f72b4f744056900d3588" TargetMode="External" /><Relationship Id="rId11" Type="http://schemas.openxmlformats.org/officeDocument/2006/relationships/hyperlink" Target="https://cts.businesswire.com/ct/CT?id=smartlink&amp;url=http%3A%2F%2Fwww.phillips66.com&amp;esheet=52317096&amp;newsitemid=20201030005131&amp;lan=en-US&amp;anchor=www.phillips66.com&amp;index=3&amp;md5=b34af73b9fee5b03b62d2acb25a9bb93" TargetMode="External" /><Relationship Id="rId12" Type="http://schemas.openxmlformats.org/officeDocument/2006/relationships/hyperlink" Target="https://cts.businesswire.com/ct/CT?id=smartlink&amp;url=https%3A%2F%2Ftwitter.com%2FPhillips66Co&amp;esheet=52317096&amp;newsitemid=20201030005131&amp;lan=en-US&amp;anchor=%40Phillips66Co&amp;index=4&amp;md5=c813d199c2304a7fbf11d75f5f7c45cc" TargetMode="External" /><Relationship Id="rId13" Type="http://schemas.openxmlformats.org/officeDocument/2006/relationships/hyperlink" Target="https://www.businesswire.com/news/home/20201030005131/en/" TargetMode="External" /><Relationship Id="rId14" Type="http://schemas.openxmlformats.org/officeDocument/2006/relationships/hyperlink" Target="mailto:jeff.dietert@p66.com" TargetMode="External" /><Relationship Id="rId15" Type="http://schemas.openxmlformats.org/officeDocument/2006/relationships/hyperlink" Target="mailto:shannon.m.holy@p66.com" TargetMode="External" /><Relationship Id="rId16" Type="http://schemas.openxmlformats.org/officeDocument/2006/relationships/hyperlink" Target="mailto:thaddeus.f.herrick@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5X-1XV1-JBG1-846W-00000-00&amp;context=1516831" TargetMode="External" /><Relationship Id="rId9" Type="http://schemas.openxmlformats.org/officeDocument/2006/relationships/hyperlink" Target="https://cts.businesswire.com/ct/CT?id=smartlink&amp;url=http%3A%2F%2Fwww.phillips66.com%2Finvestors&amp;esheet=52317096&amp;newsitemid=20201030005131&amp;lan=en-US&amp;anchor=www.phillips66.com%2Finvestors&amp;index=1&amp;md5=e9906cb8fa5d6a83470c1ef11c88ab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Third-Quarter 2020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