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The Solent Cluster launched to reduce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across the region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3,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form a decarbonisation cluster that spans the public, private and higher education sectors is a monumental step forward for the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will introduce sustainable fuels for local transportation, the aviation and the shipping sectors; create low carbon energy to heat homes, businesses and public buildings; and open up new highly skilled jobs opportunities."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Anne-Marie Mountifield, Chief Executive of Solent Local Enterprise Partnership said: "Decarbonisation is at the heart of our economic strategy for the area and the creation of The Solent Cluster will sit alongside our ambition to pioneer approaches to climate change adaptation and decarbonisation, linked to our coastal setting, and establishing real expertise which other regions - nationally and globally - can learn from.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is an important opportunity to decarbonise the Solent region, and we are proud to be a part of this collaborative effort to significantly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multiple sectors," said Dan Ammann, President of ExxonMobil Low Carbon Solutions. "We look forward to working with our founding members and others to develop a compelling project."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Solent Cluster could enable organisations to bid for government investment support for projects to decarbonise the Solent region and realise the benefits that can flow to the region's businesses and communities.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*Image, left to right: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 Crocker - Senior Vice President of ExxonMobil Low Carbon Solutions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 Lindsay-Marie Armstrong - Associate Professor within the School of Engineering at the University of Southampton and Solent Academic Cluster lead for the Industrial Decarbonisation Research and Innovation Centre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Anne-Marie Mountifield - Chief Executive of Solent LEP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Will Lochhead - Deputy Director of Industrial Carbon Capture and Hydrogen Business Models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Solent Cluster launched to reduce emissions across the region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D-T8J1-JD3Y-Y01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