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Tortoise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Corp. (TYG) Provides Unaudited Balance Sheet Information and Asset Coverage Ratio Update as of Aug. 31,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4, 2018 Tuesday 12:06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836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LEAWOOD, Kan.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today announced that as of Aug. 31, 2018, the company's unaudited total assets were approximately $2.5 billion and its unaudited net asset value was $1.5 billion, or $27.97 per share.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Aug. 31, 2018, the company was in compliance with its asset coverage ratios under the Investment Company Act of 1940 (the 1940 Act) and basic maintenance covenants. The company's asset coverage ratio under the 1940 Act with respect to senior securities representing indebtedness was 414 percent, and its coverage ratio for preferred shares was 316 percent. For more information on calculation of coverage ratios, please refer to the company's most recent applicable prospectus.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Year-to-date, through Aug. 31, 2018, the company issued 62,700 shares of common stock under its at-the-market equity offering program for gross proceeds of approximately $2.0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Set forth below is a summary of the company's unaudited preliminary balance sheet at Aug. 31, 2018 and a summary of its top 10 holdings.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Unaudited Preliminary Balance Sheet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480"/>
        <w:gridCol w:w="480"/>
        <w:gridCol w:w="480"/>
        <w:gridCol w:w="480"/>
        <w:gridCol w:w="1320"/>
        <w:gridCol w:w="480"/>
        <w:gridCol w:w="840"/>
        <w:gridCol w:w="600"/>
        <w:gridCol w:w="720"/>
        <w:gridCol w:w="48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2,441.8</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45.53</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Investments Sold</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Asset</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2,461.6</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45.90</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 Borrowings</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140.8</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7.27</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695.8</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12.97</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255.3</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1,500.0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27.97</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13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60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53.64 million common shares currently outstanding.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Top 10 Holdings (as of Aug. 31,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240"/>
        <w:gridCol w:w="240"/>
        <w:gridCol w:w="240"/>
        <w:gridCol w:w="240"/>
        <w:gridCol w:w="240"/>
        <w:gridCol w:w="240"/>
        <w:gridCol w:w="600"/>
        <w:gridCol w:w="240"/>
        <w:gridCol w:w="960"/>
        <w:gridCol w:w="240"/>
        <w:gridCol w:w="240"/>
        <w:gridCol w:w="1200"/>
        <w:gridCol w:w="240"/>
        <w:gridCol w:w="240"/>
        <w:gridCol w:w="840"/>
        <w:gridCol w:w="24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Ticker</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 (in Millions)</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 Securities(1)</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Partners, L.P.</w:t>
            </w: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262.5</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MMP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178.7</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Andeavor Logistics LP</w:t>
            </w: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ANDX</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166.9</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EPD</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165.0</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w:t>
            </w: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158.8</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Western Gas Partners, LP</w:t>
            </w: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135.6</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EQT Midstream Partners, LP</w:t>
            </w: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EQM</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133.4</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PAA</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132.1</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Tallgrass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LP</w:t>
            </w: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TGE</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114.5</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w:t>
            </w: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WMB</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105.2</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240" w:type="dxa"/>
            <w:tcBorders>
              <w:right w:val="nil"/>
            </w:tcBorders>
            <w:tcMar>
              <w:top w:w="20" w:type="dxa"/>
              <w:bottom w:w="20" w:type="dxa"/>
            </w:tcMar>
            <w:vAlign w:val="bottom"/>
          </w:tcPr>
          <w:p/>
        </w:tc>
        <w:tc>
          <w:tcPr>
            <w:tcW w:w="96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12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1,552.7</w:t>
            </w:r>
          </w:p>
        </w:tc>
        <w:tc>
          <w:tcPr>
            <w:tcW w:w="24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63.7</w:t>
            </w:r>
          </w:p>
        </w:tc>
        <w:tc>
          <w:tcPr>
            <w:tcW w:w="24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(1)Percent of Investments and Cash Equivalents.</w:t>
      </w:r>
    </w:p>
    <w:p>
      <w:pPr>
        <w:keepNext w:val="0"/>
        <w:spacing w:before="200" w:after="0" w:line="260" w:lineRule="atLeast"/>
        <w:ind w:left="0" w:right="0" w:firstLine="0"/>
        <w:jc w:val="both"/>
      </w:pP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Conference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will host a conference call on Oct. 24, 2018 at 3 p.m. Central to discuss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and provide an update on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and Tortoise's investment outlook.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Toll Free Dial-In Number: (877) 407-9210Replay Number: (877) 481-4010Replay ID: #21460 (available through Nov. 26,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owns a portfolio of master limited partnership investments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sector.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Corp.'s objective is to provide its stockholders a high level of total return with an emphasis on current distributions.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Tortoise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specializes in essential assets and income. Tortoise invests in assets and services that serve essential needs in society and can also serve essential client needs, such as diversification and income. Tortoise's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investing expertise across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including infrastructure and MLPs, dates back more than 15 years. Through a variety of investment vehicles, Tortoise provides access to a wide range of client solutions, focused on their evolving needs. For more information,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www.tortoiseadvisors.com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Capital Advisors is the Adviser to the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 Harbor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these securities in any state or jurisdiction in which such offer or solicitation or sale would be unlawful prior to registration or qualification under the laws of such state or jurisdiction.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certain statements that may include "forward-looking statements" within the meaning of Section 27A of the Securities Act of 1933 and Section 21E of the Securities Exchange Act of 1934. All statements, other than statements of historical fact, included herein are "forward-looking statements." Although the company and Tortoise Capital Advisors believe that the expectations reflected in these forward-looking statements are reasonable, they do involve assumptions, risks and uncertainties, and these expectations may prove to be incorrect. Actual results could differ materially from those anticipated in these forward-looking statements as a result of a variety of factors, including those discussed in the company's reports that are filed with the Securities and Exchange Commission. You should not place undue reliance on these forward-looking statements, which speak only as of the date of this press release. Other than as required by law, the company and Tortoise Capital Advisors do not assume a duty to update this forward-looking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https://www.businesswire.com/news/home/20180904005951/en/</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TortoisePam Kearney, Investor and Public Relations, (866) </w:t>
      </w:r>
      <w:hyperlink r:id="rId11" w:history="1">
        <w:r>
          <w:rPr>
            <w:rFonts w:ascii="times" w:eastAsia="times" w:hAnsi="times" w:cs="times"/>
            <w:b w:val="0"/>
            <w:i/>
            <w:strike w:val="0"/>
            <w:noProof w:val="0"/>
            <w:color w:val="0077CC"/>
            <w:position w:val="0"/>
            <w:sz w:val="20"/>
            <w:u w:val="single"/>
            <w:shd w:val="clear" w:color="auto" w:fill="FFFFFF"/>
            <w:vertAlign w:val="baseline"/>
          </w:rPr>
          <w:t>362-9331pkearney@tortoiseadvisors.com</w:t>
        </w:r>
      </w:hyperlink>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5,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Tortoise Energy Infrastructure Corp. (TYG) Provides Unaudited Balance Sheet Information and Asset Coverage Ratio Update as of Aug. 31,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180904005951/en/" TargetMode="External" /><Relationship Id="rId11" Type="http://schemas.openxmlformats.org/officeDocument/2006/relationships/hyperlink" Target="mailto:362-9331pkearney@tortoiseadvisor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67-TDK1-DXY3-03PT-00000-00&amp;context=1516831" TargetMode="External" /><Relationship Id="rId9" Type="http://schemas.openxmlformats.org/officeDocument/2006/relationships/hyperlink" Target="http://cts.businesswire.com/ct/CT?id=smartlink&amp;url=http%3A%2F%2Fwww.tortoiseadvisors.com&amp;esheet=51861846&amp;newsitemid=20180904005951&amp;lan=en-US&amp;anchor=www.tortoiseadvisors.com&amp;index=1&amp;md5=6b9f9e03572f86969a9331a068f12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Energy Infrastructure Corp. (TYG) Provides Unaudited Balance Sheet Information and Asset Coverage Ratio Update as of Aug. 31,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