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Tortoise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Corp. Provides Unaudited Balance Sheet Information and Asset Coverage Ratio Update as of March 31,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3,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525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LEAWOOD, Kan: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has issued the following press release: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(NYSE: TYG) today announced that as of March 31, 2018, the company’s unaudited total assets were approximately $2.1 billion and its unaudited net asset value was $1.2 billion, or $23.34 per share.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As of March 31, 2018, the company was in compliance with its asset coverage ratios under the Investment Company Act of 1940 (the 1940 Act) and basic maintenance covenants. The company’s asset coverage ratio under the 1940 Act with respect to senior securities representing indebtedness was 363 percent, and its coverage ratio for preferred shares was 275 percent. For more information on calculation of coverage ratios, please refer to the company’s most recent applicable prospectus.  Year-to-date, through March 31, 2018, the company issued 62,700 shares of common stock under its at-the-market equity offering program for gross proceeds of approximately $2.0 million.  Set forth below is a summary of the company’s unaudited balance sheet at March 31, 2018 and a summary of its top 10 holdings.  Unaudited Balance Sheet           (in Millions)           Per Share      Investments         $     2,059.1         $     40.05      Cash and Cash Equivalents             0.4             0.01      Current Tax Asset             13.6             0.26      Other Assets               3.6               0.07      Total Assets               2,076.7               40.39                           Credit Facility Borrowings             107.2             2.09      Senior Notes             412.5             8.02      Preferred Stock               165.0               3.21      Total Leverage               684.7               13.32                           Payable for Investments Purchased             4.4             0.08      Other Liabilities             10.8             0.21      Deferred Tax Liability               176.7               3.44                                   Net Assets         $     1,200.1         $     23.34                                    51.42 million common shares currently outstanding.    Top 10 Holdings (as of March 31, 2018)  Name                Ticker             Market Value (in Millions)             % of Investment Securities(1)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ETP         $ 188.8         9.2%      Magellan Midstream Partners, L.P.         MMP         162.2         7.9%      Enterprise Products Partners L.P.         EPD         150.6         7.3%      MPLX LP         MPLX         148.0         7.2%      Andeavor Logistics LP         ANDX         142.3         6.9%      Western Gas Partners, LP         WES         114.1         5.5%      Plains All American Pipeline, L.P.         PAA         111.4         5.4%      Buckeye Partners, L.P.         BPL         87.4         4.2%      Tallgrass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TEP         87.0         4.2%      Williams Partners L.P.         WPZ         81.9         4.0%      Total                 $ 1,273.7         61.8%                                    (1) Percent of Investments and Cash Equivalents.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20,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Tortoise Energy Infrastructure Corp. Provides Unaudited Balance Sheet Information and Asset Coverage Ratio Update as of March 31,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18-BK01-DXCW-D247-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Round Up - Pipelines Sector: Newsfeed on Thursday December 15,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