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Provides Unaudited Balance Sheet Information and Asset Coverage Ratio Update as of May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May 31, 2018, the company’s unaudited total assets were approximately $2.3 billion and its unaudited net asset value was $1.4 billion, or $26.49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of May 31, 2018, the company was in compliance with its asset coverage ratios under the Investment Company Act of 1940 (the 1940 Act) and basic maintenance covenants. The company’s asset coverage ratio under the 1940 Act with respect to senior securities representing indebtedness was 399 percent, and its coverage ratio for preferred shares was 303 percent. For more information on calculation of coverage ratios, please refer to the company’s most recent applicable prospectus.  Year-to-date, through May 31, 2018, the company issued 62,700 shares of common stock under its at-the-market equity offering program for gross proceeds of approximately $2.0 million.  Set forth below is a summary of the company’s unaudited preliminary balance sheet at May 31, 2018 and a summary of its top 10 holdings.                Unaudited Preliminary Balance Sheet                                        (in Millions)              Per Share          Investments              $    2,312.7              $    43.89          Cash and Cash Equivalents                   0.3                   0.00          Current Tax Asset                   13.9                   0.26          Other Assets                   3.6                   0.07          Total Assets                   2,330.5                   44.22                                                   Credit Facility Borrowings                   119.3                   2.26          Senior Notes                   402.5                   7.64          Preferred Stock                   165.0                   3.13          Total Leverage                   686.8                   13.03                                                   Payable for Investments Purchased                   0.2                   0.00          Other Liabilities                   11.9                   0.23          Deferred Tax Liability                   235.5                   4.47          Net Assets              $    1,396.1              $    26.49                         52.70 million common shares currently outstanding.                                 Top 10 Holdings (as of May 31,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ETP              $    221.1              9.6    %          Magellan Midstream Partners, L.P.              MMP                   186.2              8.1    %          Enterprise Products Partners L.P.              EPD                   170.0              7.3    %          MPLX LP              MPLX                   160.8              7.0    %          Andeavor Logistics LP              ANDX                   147.4              6.4    %          Western Gas Partners, LP              WES                   143.4              6.2    %          Plains All American Pipeline, L.P.              PAA                   118.9              5.1    %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TEP                   100.3              4.3    %          EQT Midstream Partners, LP              EQM                   96.1              4.2    %          Williams Partners L.P.              WPZ                   94.7              4.1    %          Total                             $    1,438.9              62.3    %                         (1) Percent of Investments and Cash Equivalents.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Provides Unaudited Balance Sheet Information and Asset Coverage Ratio Update as of May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G2-K151-DXCW-D52B-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