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Provides Unaudited Balance Sheet Information and Asset Coverage Ratio Update as of June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3,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607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LEAWOOD: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has issued the following press release: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June 30, 2018, the company’s unaudited total assets were approximately $2.3 billion and its unaudited net asset value was $1.4 billion, or $25.75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 of June 30, 2018, the company was in compliance with its asset coverage ratios under the Investment Company Act of 1940 (the 1940 Act) and basic maintenance covenants. The company’s asset coverage ratio under the 1940 Act with respect to senior securities representing indebtedness was 392 percent, and its coverage ratio for preferred shares was 299 percent. For more information on calculation of coverage ratios, please refer to the company’s most recent applicable prospectus.  Year-to-date, through June 30, 2018, the company issued 62,700 shares of common stock under its at-the-market equity offering program for gross proceeds of approximately $2.0 million.  Set forth below is a summary of the company’s unaudited balance sheet at June 30, 2018 and a summary of its top 10 holdings.  Unaudited Balance Sheet                      (in Millions)         Per Share               Investments         $    2,288.2         $    42.72               Cash and Cash Equivalents              0.2              0.00               Current Tax Asset              13.9              0.26               Other Assets              3.7              0.07               Total Assets              2,306.0              43.05                                                   Credit Facility Borrowings              138.9              2.59               Senior Notes              390.0              7.28               Preferred Stock              165.0              3.08               Total Leverage              693.9              12.95                                                   Other Liabilities              8.8              0.17               Deferred Tax Liability              223.7              4.18               Net Assets         $    1,379.6         $    25.75             53.57 million common shares currently outstanding.  Top 10 Holdings (as of June 30, 2018)                Name                       Ticker                 Market    Value    (in Millions)                 % of Investment    Securities(1)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ETP         $ 221.7         9.7%               Magellan Midstream Partners, L.P.         MMP         180.8         7.9%               Enterprise Products Partners L.P.         EPD         159.6         7.0%               MPLX LP         MPLX         152.9         6.7%               Andeavor Logistics LP         ANDX         146.1         6.4%               Western Gas Partners, LP         WES         134.3         5.9%               Plains All American Pipeline, L.P.         PAA         119.6         5.2%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TEP         99.4         4.3%               Williams Partners L.P.         WPZ         96.6         4.2%               EQT Midstream Partners, LP         EQM         88.8         3.9%               Total                   $ 1,399.8         61.2%             (1)Percent of Investments and Cash Equivalents.  3rd Quarter 2018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Conference Call  Tortoise will host its third quarter 2018 conference call on July 25, 2018 at 3 p.m. Central to discuss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and provide an update on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and Tortoise’s investment outlook.  Toll Free Dial-In Number: (877) 407-9210 Replay Number: (877) 481-4010 Replay ID: #21459 (available through Aug. 25, 2018)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Provides Unaudited Balance Sheet Information and Asset Coverage Ratio Update as of June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PN-NBT1-J9XT-P03W-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 of Law: Amid Labor Shortages, More Employers Suing to Enforce Non-Competes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