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Provides Unaudited Balance Sheet Information and Asset Coverage Ratio Update as of July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LEAWOOD: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has issued the following press release: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July 31, 2018, the company’s unaudited total assets were approximately $2.5 billion and its unaudited net asset value was $1.5 billion, or $27.72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 of July 31, 2018, the company was in compliance with its asset coverage ratios under the Investment Company Act of 1940 (the 1940 Act) and basic maintenance covenants. The company’s asset coverage ratio under the 1940 Act with respect to senior securities representing indebtedness was 405 percent, and its coverage ratio for preferred shares was 310 percent. For more information on calculation of coverage ratios, please refer to the company’s most recent applicable prospectus.  Year-to-date, through July 31, 2018, the company issued 62,700 shares of common stock under its at-the-market equity offering program for gross proceeds of approximately $2.0 million.  Set forth below is a summary of the company’s unaudited balance sheet at July 31, 2018 and a summary of its top 10 holdings.  Unaudited Balance Sheet                               (in Millions)                 Per Share Investments                     $     2,421.8             $     45.21 Cash and Cash Equivalents                         0.3                 0.00 Current Tax Asset                         13.9                 0.26 Other Assets                           18.1                   0.34 Total Assets                           2,454.1                   45.81                                  Credit Facility Borrowings                         151.7                 2.83 Senior Notes                         390.0                 7.28 Preferred Stock                           165.0                   3.08 Total Leverage                           706.7                   13.19                                  Other Liabilities                         6.2                 0.12 Deferred Tax Liability                           256.2                   4.78 Net Assets                     $     1,485.0             $     27.72    53.57 million common shares currently outstanding.      Top 10 Holdings (as of July 31, 2018)   Name                      Ticker                   Market Value (in Millions)                   % of Investment Securities(1)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ETP             $     244.0             10.1     % Magellan Midstream Partners, L.P.             MMP                 187.9             7.8     % Enterprise Products Partners L.P.             EPD                 167.3             6.9     % MPLX LP             MPLX                 163.1             6.7     % Andeavor Logistics LP             ANDX                 156.5             6.5     % Western Gas Partners, LP             WES                 141.9             5.9     % Plains All American Pipeline, L.P.             PAA                 125.3             5.2     % EQT Midstream Partners, LP             EQM                 119.5             4.9     % Williams Partners L.P.             WPZ                 107.2             4.4     %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TGE                   107.1             4.4     % Total                         $     1,519.8             62.8     %    (1) Percent of Investments and Cash Equivalents.    About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owns a portfolio of master limited partnership investments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sector.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Corp.’s objective is to provide its stockholders a high level of total return with an emphasis on current distributions.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Provides Unaudited Balance Sheet Information and Asset Coverage Ratio Update as of July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Y2-VRF1-DXCW-D3X0-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