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2019 Fourth Quarter and Full Year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30, 2020 Thursday 3:32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CALENDAR OF EVENTS; DIVIDEND REPORTS AND ESTIMATES; EARNINGS RELEASES AND OPERATING RESULTS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8421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Reported net income attributable to Valero stockholders of $1.1 billion, or $2.58 per share, for the fourth quarter and $2.4 billion, or $5.84 per share, for the year.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Reported adjusted net income attributable to Valero stockholders of $873 million, or $2.13 per share, for the fourth quarter and $2.4 billion, or $5.70 per share, for the year.</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Returned $591 million in cash to stockholders through dividends and stock buybacks in the fourth quarter and $2.3 billion in the year.</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Increased quarterly common stock dividend by nine percent to $0.98 per share on January 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ANTONIO, Jan.  30, 2020  (GLOBE NEWSWIRE) -- Valero Energy Corporation (NYSE: VLO, "Valero") today reported net income attributable to Valero stockholders of $1.1 billion, or $2.58 per share, for the fourth quarter of 2019 compared to $952 million, or $2.24 per share, for the fourth quarter of 2018. Excluding adjustments shown in the accompanying earnings release tables, adjusted net income attributable to Valero stockholders was $873 million, or $2.13 per share, for the fourth quarter of 2019 and $932 million, or $2.19 per share, for the fourth quarter of 2018. The adjustment for the fourth quarter of 2019 is associated with the retroactive blender's tax credit.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year ended December 31, 2019, net income attributable to Valero stockholders was $2.4 billion, or $5.84 per share, compared to $3.1 billion, or $7.29 per share, for 2018. Excluding the adjustments shown in the accompanying earnings release tables, adjusted net income attributable to Valero stockholders was $2.4 billion, or $5.70 per share, for 2019 compared to $3.2 billion, or $7.55 per share, for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delivered another year of steady earnings despite a challenging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the refining business during 2019," said Joe Gorder, Valero Chairman and Chief Executive Officer. "We ran our business well by delivering the best year ever on employee safety performance along with the lowest number of environmental events in company history."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RefiningThe refining segment reported $1.4 billion of operating income for the fourth quarter of 2019 compared to $1.5 billion for the fourth quarter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refineries operated well at 96% utilization, allowing us to take advantage of wider sour crude oil differentials and weakness in high sulfur residual feedstocks in the fourth quarter," Gorder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throughput volumes averaged 3.0 million barrels per day in the fourth quarter of 2019, which is in line with the fourth quarter of 2018. For the full year 2019, the company processed record volumes of approximately 180 thousand barrels per day of Canadian heavy crude oil and 1.4 million barrels per day of North American sweet crude oil. The company exported an average of 343,000 barrels per day of gasoline and distillate in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EthanolThe ethanol segment reported $36 million of operating income for the fourth quarter of 2019, compared to a $27 million operating loss for the fourth quarter of 2018. The increase in operating income was attributed primarily to higher ethanol prices. Ethanol production volumes averaged 4.3 million gallons per day in the fourth quarter of 2019, which is in line with the fourth quarter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DieselThe renewable diesel segment reported $541 million of operating income for the fourth quarter of 2019, compared to $101 million for the fourth quarter of 2018. After adjusting for the retroactive blender's tax credit recorded in the fourth quarter of 2019, adjusted renewable diesel operating income was $187 million in the fourth quarter of 2019, compared to $167 million in the fourth quarter of 2018. Renewable diesel sales volumes averaged 844 thousand gallons per day in the fourth quarter of 2019, an increase of 124 thousand gallons per day versus the fourth quarter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OtherGeneral and administrative expenses were $243 million in the fourth quarter of 2019 compared to $230 million in the fourth quarter of 2018.  For 2019, general and administrative expenses of $868 million were $57 million lower than in 2018 mainly due to adjustments to our environmental liabilities in 2018.  The effective tax rate for 2019 was 20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ActivitiesCapital investments totaled $722 million in the fourth quarter of 2019, of which $445 million was for sustaining the business, including costs for turnarounds, catalysts and regulatory compliance.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$591 million to stockholders in the fourth quarter of 2019, of which $369 million was paid as dividends and $222 million was for the purchase of approximately 2.3 million shares of common stock. In 2019, Valero returned $2.3 billion to stockholders, or 47 percent of adjusted net cash provided by operating activities, consisting of $777 million in stock buybacks and $1.5 billion in dividends.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in 2019 was $5.5 billion. Included in this amount is a $294 million favorable impact from working capital and our joint venture partner's share of Diamond Green Diesel's (DGD) net cash provided by operating activities, excluding changes in its working capital. Excluding these items, adjusted net cash provided by operating activities was $4.8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total payout ratio between 40 and 50 percent of adjusted net cash provided by operating activities for 2020. Valero defines total payout ratio as the sum of dividends and stock buybacks divided by net cash provided by operating activities adjusted for changes in working capital and DGD's net cash provided by operating activities, excluding changes in its working capital, attributable to our joint venture partner's ownership interest in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January 23, the company announced a nine percent increase in its quarterly common stock dividend from $0.90 per share to $0.98 per share, payable on March 4, 2020, to holders of record on February 12,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PositionValero ended the fourth quarter of 2019 with $9.7 billion of total debt and $2.6 billion of cash and cash equivalents. The debt to capital ratio, net of $2 billion in cash, was 26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UpdateIn 2019, Valero successfully started up the Houston Alkylation Unit, which upgrades lower value natural gas liquids and refinery olefins to a premium, high octane alkylate product. Valero also completed the Central Texas Pipelines and Terminals project, which reduces secondary costs and extends the supply chain from the U.S. Gulf Coast to a growing inland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Several growth projects, including the Pasadena Terminal, St. Charles Alkylation Unit and Pembroke Cogeneration Unit, are on track to be completed in 2020. The Diamond Pipeline expansion should be completed in 2021. The company expects the DGD expansion and Port Arthur Coker to be completed in 2021 and 2022,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with its ethanol and renewable diesel businesses, is already the largest renewable fuels producer in North America and it continues to explore growth opportunities in renewable fuels. As previously announced, Valero and its joint venture partner in DGD have initiated an advanced engineering and development cost review for a new renewable diesel plant at Valero's Port Arthur, Texas facility. If the project is approved, operations would commence in 2024, resulting in DGD production capacity increasing to over 1.1 billion gallons annually.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expect to invest approximately $2.5 billion of capital in 2020, of which approximately 60 percent is for sustaining the business and approximately 40 percent is for growth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CallValero's senior management will hold a conference call at 10 a.m. ET today to discuss this earnings release and to provide an update on operations and strategy.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3.1 million barrels per day and 14 ethanol plants with a combined production capacity of approximately 1.73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ContactsInvestors:Homer Bhullar, Vice President    Investor Relations, 210-345-1982Eric Herbort, Senior Manager    Investor Relations, 210-345-3331Gautam Srivastava, Manager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Media:Lillian Riojas, Executive Director    Media Relations and Communications, 210-345-5002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Safe-Harbor StatementStatements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For more information concerning factors that could cause actual results to differ from those expressed or forecasted, see Valero's annual reports on Form 10-K, quarterly reports on Form 10-Q, and other reports filed with the Securities and Exchange Commission and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earnings release and the accompanying earnings release tables include references to financial measures that are not defined under U.S. generally accepted accounting principles (GAAP).  These non-GAAP measures include adjusted net income attributable to Valero stockholders, adjusted earnings per common share    assuming dilution, refining margin, ethanol margin, renewable diesel margin, adjusted refining operating income, adjusted ethanol operating income, adjusted renewable diesel operating income, and adjusted net cash provided by operating activities.  These non-GAAP financial measures have been included to help facilitate the comparison of operating results between periods.  See the accompanying earnings release tables for a reconciliation of non-GAAP measures to their most directly comparable U.S. GAAP measures.  Note (h) to the earnings release tables provides reasons for the use of these 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TABLESFINANCIAL HIGHLIGHTS(millions of dollars, except per share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80"/>
        <w:gridCol w:w="600"/>
        <w:gridCol w:w="480"/>
        <w:gridCol w:w="480"/>
        <w:gridCol w:w="480"/>
        <w:gridCol w:w="480"/>
        <w:gridCol w:w="480"/>
        <w:gridCol w:w="236"/>
        <w:gridCol w:w="236"/>
        <w:gridCol w:w="480"/>
        <w:gridCol w:w="236"/>
        <w:gridCol w:w="236"/>
        <w:gridCol w:w="236"/>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108,324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117,033</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24,080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96,476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104,732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25,876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103,546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(excludingdepreciation and amortization expense reflected below) (c)</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(e) (f)</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 stockholders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3,122</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assuming dilution (in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36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TABLESFINANCIAL HIGHLIGHTS BY SEGMENT (g)(millions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
        <w:gridCol w:w="360"/>
        <w:gridCol w:w="236"/>
        <w:gridCol w:w="360"/>
        <w:gridCol w:w="236"/>
        <w:gridCol w:w="360"/>
        <w:gridCol w:w="360"/>
        <w:gridCol w:w="600"/>
        <w:gridCol w:w="236"/>
        <w:gridCol w:w="360"/>
        <w:gridCol w:w="236"/>
        <w:gridCol w:w="236"/>
        <w:gridCol w:w="360"/>
        <w:gridCol w:w="360"/>
        <w:gridCol w:w="236"/>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27,879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26,643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27,879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23,602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24,080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25,876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(excludingdepreciation and amortization expense reflectedbelow)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27,727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25,415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26,255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27,184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(excludingdepreciation and amortization expense reflectedbelow)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Operating Highlights by Segment.See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TABLESFINANCIAL HIGHLIGHTS BY SEGMENT (g)(millions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360"/>
        <w:gridCol w:w="236"/>
        <w:gridCol w:w="360"/>
        <w:gridCol w:w="236"/>
        <w:gridCol w:w="360"/>
        <w:gridCol w:w="360"/>
        <w:gridCol w:w="480"/>
        <w:gridCol w:w="236"/>
        <w:gridCol w:w="360"/>
        <w:gridCol w:w="236"/>
        <w:gridCol w:w="236"/>
        <w:gridCol w:w="360"/>
        <w:gridCol w:w="360"/>
        <w:gridCol w:w="236"/>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 2019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103,746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108,324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103,764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108,324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93,371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96,476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99,722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103,546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(excludingdepreciation and amortization expense reflectedbelow)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 2018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117,033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113,118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117,033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101,866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104,732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107,930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111,439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(excludingdepreciation and amortization expense reflectedbelow) (c)</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Operating Highlights by Segment. 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(h)(millions of dollars, except per share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480"/>
        <w:gridCol w:w="480"/>
        <w:gridCol w:w="480"/>
        <w:gridCol w:w="480"/>
        <w:gridCol w:w="480"/>
        <w:gridCol w:w="480"/>
        <w:gridCol w:w="480"/>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attributable to Valero EnergyCorporation stockholders to adjusted net incomeattributable to Valero Energy Corporation stockholders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Corporationstockholders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attributable to Valero EnergyCorporation stockholders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related to blender's tax credit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attributable to Valero EnergyCorporation stockholders, net of taxes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Texas City Refinery fire expenses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Texas City Refineryfire expenses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Texas City Refinery fire expenses, net of taxes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adjustments (c)</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environmental reserveadjustments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adjustments, net of taxes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of debt (d)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loss on earlyredemption of debt</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of debt, net of taxes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from Tax Reform (e)</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Foreign tax credit (f)</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attributable toValero Energy Corporation stockholders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per common share    assumingdilution to adjusted earnings per common share   assuming dilution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attributable to Valero EnergyCorporation stockholders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Texas City Refinery fire expenses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adjustments (c)</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of debt (d)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from Tax Reform (e)</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Foreign tax credit (f)</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common share    assuming dilution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(h)(millions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80"/>
        <w:gridCol w:w="480"/>
        <w:gridCol w:w="480"/>
        <w:gridCol w:w="480"/>
        <w:gridCol w:w="480"/>
        <w:gridCol w:w="480"/>
        <w:gridCol w:w="480"/>
        <w:gridCol w:w="236"/>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by segment to segmentmargin, and reconciliation of operating income bysegment to adjusted operating income by segment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(g)</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Other operating expenses (b)</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 (g)</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(h)(millions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480"/>
        <w:gridCol w:w="480"/>
        <w:gridCol w:w="480"/>
        <w:gridCol w:w="480"/>
        <w:gridCol w:w="480"/>
        <w:gridCol w:w="480"/>
        <w:gridCol w:w="480"/>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torefining margin (by region), and reconciliation ofrefining segment operating income to adjusted refiningsegment operating income (by region) (i)</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(g)</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(g)</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(h)(millions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480"/>
        <w:gridCol w:w="480"/>
        <w:gridCol w:w="480"/>
        <w:gridCol w:w="480"/>
        <w:gridCol w:w="480"/>
        <w:gridCol w:w="360"/>
        <w:gridCol w:w="480"/>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torefining margin (by region), and reconciliation ofrefining segment operating income to adjusted refiningsegment operating income (by region) (i) (continued)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Blender's tax credit (a)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TABLESREFINING SEGMENT OPERATING HIGHLIGHTS(millions of dollars, except per barrel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80"/>
        <w:gridCol w:w="600"/>
        <w:gridCol w:w="480"/>
        <w:gridCol w:w="480"/>
        <w:gridCol w:w="480"/>
        <w:gridCol w:w="480"/>
        <w:gridCol w:w="480"/>
        <w:gridCol w:w="236"/>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(j)</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(h) (k)</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TABLESETHANOL SEGMENT OPERATING HIGHLIGHTS(millions of dollars, except per gallon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80"/>
        <w:gridCol w:w="600"/>
        <w:gridCol w:w="480"/>
        <w:gridCol w:w="480"/>
        <w:gridCol w:w="480"/>
        <w:gridCol w:w="480"/>
        <w:gridCol w:w="480"/>
        <w:gridCol w:w="236"/>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(h) (k)</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 per gallon of production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per gallon of production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TABLESRENEWABLE DIESEL SEGMENT OPERATING HIGHLIGHTS (g)(millions of dollars, except per gallon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80"/>
        <w:gridCol w:w="600"/>
        <w:gridCol w:w="480"/>
        <w:gridCol w:w="480"/>
        <w:gridCol w:w="480"/>
        <w:gridCol w:w="480"/>
        <w:gridCol w:w="480"/>
        <w:gridCol w:w="236"/>
        <w:gridCol w:w="236"/>
        <w:gridCol w:w="480"/>
        <w:gridCol w:w="236"/>
        <w:gridCol w:w="236"/>
        <w:gridCol w:w="236"/>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(h) (k)</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 per gallon 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per gallonof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TABLESREFINING SEGMENT OPERATING HIGHLIGHTS BY REGION(millions of dollars, except per barrel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80"/>
        <w:gridCol w:w="600"/>
        <w:gridCol w:w="480"/>
        <w:gridCol w:w="480"/>
        <w:gridCol w:w="480"/>
        <w:gridCol w:w="480"/>
        <w:gridCol w:w="480"/>
        <w:gridCol w:w="236"/>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(i)</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(g) (h) (k)</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(g) (h) (k)</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TABLESREFINING SEGMENT OPERATING HIGHLIGHTS BY REGION(millions of dollars, except per barrel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80"/>
        <w:gridCol w:w="600"/>
        <w:gridCol w:w="480"/>
        <w:gridCol w:w="480"/>
        <w:gridCol w:w="480"/>
        <w:gridCol w:w="480"/>
        <w:gridCol w:w="480"/>
        <w:gridCol w:w="236"/>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(i) (continued)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(h) (k)</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(h) (k)</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andamortization expense reflected below)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TABLESAVERAGE MARKET REFERENCE PRICES AND DIFFERENTIALS(unaudited)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80"/>
        <w:gridCol w:w="720"/>
        <w:gridCol w:w="480"/>
        <w:gridCol w:w="480"/>
        <w:gridCol w:w="480"/>
        <w:gridCol w:w="480"/>
        <w:gridCol w:w="480"/>
        <w:gridCol w:w="236"/>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68.46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60.82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 unless otherwise noted)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(CBOB)gasoline less Brent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ofOxygenate Blending (CARBOB) 87 gasoline less ANS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TABLESAVERAGE MARKET REFERENCE PRICES AND DIFFERENTIALS(unaudited)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80"/>
        <w:gridCol w:w="840"/>
        <w:gridCol w:w="480"/>
        <w:gridCol w:w="720"/>
        <w:gridCol w:w="480"/>
        <w:gridCol w:w="480"/>
        <w:gridCol w:w="480"/>
        <w:gridCol w:w="236"/>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corn (dollars per bushel)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diesel(dollars per gallon)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(RIN)(dollars per RIN)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206.04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soybean oil (dollars per pound)</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TABLESOTHER FINANCIAL DATA(millions of dollars, except per share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720"/>
        <w:gridCol w:w="1080"/>
        <w:gridCol w:w="480"/>
        <w:gridCol w:w="720"/>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18,969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17,675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13,160</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finance lease obligations includedin current liabilities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 less current portion</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9,178</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9,672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21,803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480"/>
        <w:gridCol w:w="480"/>
        <w:gridCol w:w="480"/>
        <w:gridCol w:w="480"/>
        <w:gridCol w:w="480"/>
        <w:gridCol w:w="480"/>
        <w:gridCol w:w="480"/>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operating activities to adjusted net cash provided by operating activities (h)</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our joint venture partner's ownership interest in DGD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Cost of materials and other for the three months and year ended December 31, 2019 includes a benefit of $449 million for the blender's tax credit attributable to volumes blended during 2019 and 2018. The benefit was recognized in December 2019 because the U.S legislation authorizing the credit was passed and signed into law in that month. The $449 million pre-tax benefit is attributable to volumes blended during the two years and is reflected in our reportable segments as follows (in millions):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40"/>
        <w:gridCol w:w="600"/>
        <w:gridCol w:w="236"/>
        <w:gridCol w:w="1080"/>
        <w:gridCol w:w="236"/>
        <w:gridCol w:w="600"/>
        <w:gridCol w:w="360"/>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Periods to which blender's tax credit is attributable</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2019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2019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2019 blender's tax credit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 blender's tax credit: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2018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2018</w:t>
            </w:r>
          </w:p>
        </w:tc>
        <w:tc>
          <w:tcPr>
            <w:tcW w:w="2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2018 blender's tax credit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recognized in 2019</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449</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$449 million pre-tax benefit, $215 million is attributable to noncontrolling interest and $234 million is attributable to Valero Energy Corporation stockholders.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Cost of materials and other for the year ended December 31, 2018 includes a benefit of $170 million for the blender's tax credit attributable to volumes blended during 2017. The benefit was recognized in February 2018 because the U.S. legislation authorizing the credit was passed and signed into law in that month. Of the $170 million pre-tax benefit, $10 million and $160 million is included in our refining and renewable diesel segments, respectively, and consequently, $80 million is attributable to noncontrolling interest and $90 million is attributable to Valero Energy Corporation stockholders.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 Other operating expenses reflects expenses that are not associated with our cost of sales and primarily includes costs to repair, remediate, and restore our facilities to normal operations following a non-operating event such as a natural disaster or a major unplanned outage.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General and administrative expenses (excluding depreciation and amortization expense) for the year ended December 31, 2018 includes a charge of $108 million for environmental reserve adjustments associated with certain non-operating sites.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 "Other income, net" for the year ended December 31, 2019 and 2018 includes a $22 million charge from the early redemption of $850 million of our 6.125 percent senior notes due February 1, 2020 and a $38 million charge from the early redemption of $750 million of our 9.375 percent senior notes due March 15, 2019,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On December 22, 2017, the Tax Cut and Jobs Act of 2017 (Tax Reform) was enacted, and we recognized an income tax benefit in December 2017 that represented our initial estimate of the impact of Tax Reform. We finalized our estimates during the three months ended December 31, 2018 and recorded an income tax benefit of $12 million during the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 Income tax expense for the three months and year ended December 31, 2018 includes the recognition of a foreign tax credit, resulting from rules proposed in December 2018 by the Internal Revenue Service, which provided guidance on the foreign tax credit limitation under Tax Reform. We estimate that $42 million of the foreign tax credit recognized in the fourth quarter is attributable to the nine months ended September 30,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 Effective January 1, 2019, we revised our reportable segments to align with certain changes in how our chief operating decision maker manages and allocates resources to our business. Accordingly, we created a new reportable segment   renewable diesel. The results of the renewable diesel segment, which includes the operations of our consolidated joint venture, Diamond Green Diesel Holdings LLC (DGD), were transferred from the refining segment. Also effective January 1, 2019, we no longer have a VLP segment, and as a result, the operations previously included in the VLP segment are included in our refining segment. Our prior period segment information has been retrospectively adjusted to reflect our current segment 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 We use certain financial measures (as noted below) in the earnings release tables and accompanying earnings release that are not defined under U.S. GAAP and are considered to be non-GAAP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through the exclusion of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measures are as follows: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net income attributable to Valero Energy Corporation stockholders is defined as net income attributable to Valero Energy Corporation stockholders excluding the items noted below, along with their related income tax effect. We have excluded these items because we believe that they are not indicative of our core operating performance and that their exclusion results in an important measure of our ongoing financial performance to better assess our underlying business results and trends. The basis for our belief with respect to each excluded item is provided below.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Blender's tax credit attributable to Valero Energy Corporation stockholders - We regularly blend renewable diesel with petroleum-based diesel even when there is no U.S. federal tax credit associated with such blending activity. From time to time, the legislation authorizing the blender's tax credit has been applied retroactively, and we recognize the credit associated with volumes blended during the retroactive period at the time the legislation is signed into law (see note (a)). Therefore, when the period in which the blender's tax credit is recognized differs from the period in which the blending occurred, we exclude the credit associated with prior-period blending from the period in which it was recognized. Accordingly, the adjustment to reflect the blender's tax credit attributable to Valero Energy Corporation stockholders that was recognized in 2019 and 2018 but associated with volumes blended in other periods is calculated as follows (in millions):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480"/>
        <w:gridCol w:w="720"/>
        <w:gridCol w:w="480"/>
        <w:gridCol w:w="480"/>
        <w:gridCol w:w="480"/>
        <w:gridCol w:w="360"/>
        <w:gridCol w:w="480"/>
        <w:gridCol w:w="236"/>
        <w:gridCol w:w="236"/>
        <w:gridCol w:w="360"/>
        <w:gridCol w:w="236"/>
        <w:gridCol w:w="236"/>
        <w:gridCol w:w="236"/>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and 2018 credits recognized in 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related to noncontrolling interest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related to Valero Energy Corporation stockholders properly reflected in the period associated with volumes blended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related to 2019 and 2018 blender's tax credits recognized in 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credits recognized in 2018</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Amount related to noncontrolling interest</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related to 2017 blender's tax credit recognized in 2018</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 to reflect blender's tax credit in proper period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Texas City Refinery fire expenses - The costs incurred to respond to and assess the damage caused by the fire that occurred at the Texas City Refinery are specific to that event and are not ongoing costs incurred in our operations.     Environmental reserve adjustments - The environmental reserve adjustments are attributable to sites that were shut down by prior owners and subsequently acquired by us (referred to by us as non-operating sites) (see note (c)).     Loss on early redemption of debt - The penalty and other expenses incurred in connection with the early redemption of our 6.125 percent senior notes due February 1, 2020 and 9.375 percent senior notes due March 15, 2019 (see note (d)) are not associated with the ongoing costs of our borrowing and financing activities.     Income tax benefit from Tax Reform - The income tax benefit from Tax Reform (see note (e)) is associated with changes in U.S. tax legislation and is not indicative of our core performance.     Foreign tax credit - The income tax benefit from the foreign tax credit (see note (f)) is attributable to the nine months ended September 30, 2018 and is not indicative of our core performance during the three months ended December 31, 2018.</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earnings per common share    assuming dilution is defined as adjusted net income attributable to Valero Energy Corporation stockholders divided by the number of weighted-average shares outstanding in the applicable period, assuming dilution.</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Refining margin is defined as refining operating income excluding the blender's tax credit (see note (a)),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Ethanol margin is defined as ethanol operating income (loss) excluding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Renewable diesel margin is defined as renewable diesel operating income excluding the blender's tax credit (see note (a)),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refining operating income is defined as refining segment operating income excluding the blender's tax credit (see note (a)) and other operating expenses. We believe adjusted refining operating income is an important measure of our refining segment's operating and financial performance because it excludes items that are not indicative of that segment's core operating performance.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ethanol operating income (loss) is defined as ethanol segment operating income (loss) excluding other operating expenses. We believe this is an important measure of our ethanol segment's operating and financial performance because it excludes items that are not indicative of that segment's core operating performance.</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renewable diesel operating income is defined as renewable diesel segment operating income excluding the blender's tax credit (see note (a)). We believe this is an important measure of our renewable diesel segment's operating and financial performance because it excludes items that are not indicative of that segment's core operating performance.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net cash provided by operating activities is defined as net cash provided by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   DGD's adjusted net cash provided by operating activities attributable to our joint venture partner's ownership interest in DGD - We are a 50/50 joint venture partner in DGD and consolidate DGD's financial statements; as a result, all of DGD's net cash provided by operating activities (or operating cash flow) is included in our consolidated net cash provided by operating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DGD's partners use DGD's operating cash flow (excluding changes in its current assets and current liabilities) to fund its capital investments rather than distribute all of that cash to themselves. Nevertheless, DGD's operating cash flow is effectively attributable to each partner and only 50 percent of DGD's operating cash flow should be attributed to our net cash provided by operating activities. Therefore, we have adjusted our net cash provided by operating activities for the portion of DGD's operating cash flow attributable to our joint venture partner's ownership interest because we believe that it more accurately reflects the operating cash flow available to us to fund our investing and financing activities. The adjustment is calculated as follows (in millions):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480"/>
        <w:gridCol w:w="600"/>
        <w:gridCol w:w="480"/>
        <w:gridCol w:w="480"/>
        <w:gridCol w:w="480"/>
        <w:gridCol w:w="240"/>
        <w:gridCol w:w="480"/>
        <w:gridCol w:w="236"/>
        <w:gridCol w:w="236"/>
        <w:gridCol w:w="360"/>
        <w:gridCol w:w="236"/>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changes in current assets and current liabilities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partner's ownership interest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our joint venture partner's ownership interest in DGD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The refining segment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 Primarily includes petrochemicals, gas oils, No. 6 fuel oil, petroleum coke, sulfur, and asphalt.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 Valero uses certain operating statistics (as noted below) in the earnings release tables and the accompanying earnings release to evaluate performance between comparable periods. Different companies may calculate them in different 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per barrel of throughput, per gallon of production, and per gallon of sales amounts are calculated by dividing the associated dollar amount by the throughput volumes, production volumes, and sales volumes for the period, as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Throughput volumes, production volumes, and sales volumes are calculated by multiplying throughput volumes per day, production volumes per day, and sales volumes per day (as provided in the accompanying tables), respectively, by the number of days in the applicable period. We use throughput volumes, production volumes, and sales volumes for the refining segment, ethanol segment, and renewable diesel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30,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2019 Fourth Quarter and Full Year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3G-4WT1-JBKN-D4V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Biorefinery Market is expected to grow by $ 651.89 mn during 2022-2026 progressing at a CAGR of 11.56% during the forecast period; Global Biorefinery Market 2022-2026 The analyst has been monitoring the biorefinery market and it is poised to grow by $ 651. 89 mn during 2022-2026 progressing at a CAGR of 11. 56% during the forecast period.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