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Third Quarter 2021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21, 2021 Thursday 10:34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9009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today reported net income attributable to Valero stockholders of $463 million, or $1.13 per share, for the third quarter of 2021, compared to a net loss of $464 million, or $1.14 per share, for the third quarter of 2020. Excluding the adjustments shown in the accompanying earnings release tables, third quarter 2021 adjusted net income attributable to Valero stockholders was $500 million, or $1.22 per share, compared to an adjusted net loss attributable to Valero stockholders of $472 million, or $1.16 per share, for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$835 million of operating income for the third quarter of 2021, compared to a $629 million operating loss for the third quarter of 2020. Third quarter 2021 adjusted operating income was $853 million, compared to an adjusted operating loss of $575 million for the third quarter of 2020. Refinery throughput volumes averaged 2.9 million barrels per day in the third quarter of 2021, which was 338 thousand barrels per day higher than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saw significant improvement in refining margins in the third quarter as economic activity and mobility continued to recover in key markets," said Joe Gorder, Valero Chairman and Chief Executive Officer. "The continued improvement in earnings of our refining business, coupled with the ongoing expansion of our renewables businesses, should strengthen our competitive advantage and drive long-term shareholder returns."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which consists of the Diamond Green Diesel (DGD) joint venture, reported $108 million of operating income for the third quarter of 2021, compared to $184 million for the third quarter of 2020. Renewable diesel sales volumes averaged 671 thousand gallons per day in the third quarter of 2021, which was 199 thousand gallons per day lower than the third quarter of 2020. The lower operating income and sales volumes in the third quarter of 2021 are primarily attributed to plant downtime due to Hurricane Ida.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a $44 million operating loss for the third quarter of 2021, compared to $22 million of operating income for the third quarter of 2020. Excluding the adjustments shown in the accompanying earnings release tables, third quarter 2021 adjusted operating income was $4 million, compared to $36 million for the third quarter of 2020. Ethanol production volumes averaged 3.6 million gallons per day in the third quarter of 2021, which was 175 thousand gallons per day lower than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$195 million in the third quarter of 2021, compared to $186 million in the third quarter of 2020. The effective tax rate for the third quarter of 2021 was 11 percent, which reflects the benefit from the portion of DGD's net income that is not taxable to Valero.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$1.4 billion in the third quarter of 2021. Included in this amount was a $379 million favorable impact from working capital and $59 million associated with our joint venture partner's share of DGD's net cash provided by operating activities, excluding changes in DGD's working capital. Excluding these items, adjusted net cash provided by operating activities was $1.0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$585 million in the third quarter of 2021, of which $191 million was for sustaining the business, including costs for turnarounds, catalysts and regulatory compliance. Excluding capital investments attributable to our partner's 50 percent share of DGD and those related to other variable interest entities, capital investments attributable to Valero were $392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$400 million to stockholders through dividends for a payout ratio of 40 percent of adjusted net cash provided by operating activities in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long-term total payout ratio between 40 and 50 percent of adjusted net cash provided by operating activities. Valero defines total payout ratio as the sum of dividends and stock buybacks divided by net cash provided by operating activities adjusted for changes in working capital and DGD's net cash provided by operating activities, excluding changes in its working capital, attributable to our joint venture partner's ownership interest in DGD.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redeemed the entire outstanding principal amount of its $575 million Floating Rate Senior Notes due in 2023 at par value, plus accrued and unpaid interest on September 27,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third quarter of 2021 with $14.2 billion of total debt and finance lease obligations and $3.5 billion of cash and cash equivalents. The debt to capitalization ratio, net of cash and cash equivalents, was 37 percent as of September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Diamond Green Diesel expansion project at Valero's St. Charles refinery (DGD 2), which increases renewable diesel production capacity by 400 million gallons per year, was completed in the third quarter and is in the process of starting up.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report that the Diamond Green Diesel expansion project at Valero's St. Charles refinery was successfully completed on-budget and ahead of schedule," said Gorder. "This is a testament to the strength of our engineering and operations teams, who got this accomplished despite Hurricane Ida related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DGD plant at Valero's Port Arthur refinery (DGD 3), which is expected to have a renewable diesel production capacity of 470 million gallons per year, is progressing well and is still expected to commence operations in the first half of 2023, increasing DGD's total annual production capacity to approximately 1.2 billion gallons of renewable diesel and 50 million gallons of renewable naphtha.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large-scale carbon sequestration project with BlackRock and Navigator is also progressing on schedule. Navigator has received the necessary board approvals to proceed with the carbon capture pipeline system as a result of a successful binding open season. Valero is expected to be the anchor shipper with eight of Valero's ethanol plants connected to this system, producing a lower carbon intensity ethanol product to be marketed in low-carbon fuel markets that is expected to result in a higher product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optimization projects that are expected to reduce cost and improve margin capture are progressing on schedule. The Pembroke Cogeneration Unit, which is expected to provide an efficient and reliable source of electricity and steam, was completed and commissioned in the third quarter of 2021. The Port Arthur Coker project, which is expected to increase the refinery's utilization rate and improve turnaround efficiency, is still expected to be completed in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attributable to Valero are forecasted to be $2.0 billion in 2021, of which approximately 60 percent is for sustaining the business and approximately 40 percent is for growth projects. Over 60 percent of Valero's 2021 growth capital is allocated to expanding the renewable diesel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senior management will hold a conference call at 10 a.m. ET today to discuss this earnings release and to provide an update on operations and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Energy Corporation, through its subsidiaries (collectively, "Valero"), is an international manufacturer and marketer of transportation fuels and petrochemical products. Valero is a Fortune 500 company based in San Antonio, Texas, and owns 15 petroleum refineries with a combined throughput capacity of approximately 3.2 million barrels per day and 12 ethanol plants with a combined production capacity of approximately 1.6 billion gallons per year. The petroleum refineries are located in the United States (U.S.), Canada and the United Kingdom (U.K.), and the ethanol plants are located in the Mid-Continent region of the U.S. Valero is also a joint venture partner in Diamond Green Diesel, which owns and operates a renewable diesel plant in Norco, Louisiana. Diamond Green Diesel owns North America's largest biomass-based diesel plant. Valero sells its products in the wholesale rack or bulk markets in the U.S., Canada, the U.K., Ireland and Latin America. Approximately 7,000 outlets carry Valero's brand names.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www.investorvalero.com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and the accompanying tables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Forward-looking statements in this release and the accompanying tables include those relating to our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targets, expected timing of completion and performance of projects, future market and industry conditions, future operating and financial performance and management of future risks. It is important to note that actual results could differ materially from those projected in such forward-looking statements based on numerous factors, including those outside of the company's control, such as legislative or political changes or developments, market dynamics, cyberattacks, weather events, and other matters affecting our operations or the demand for our products. These factors also include, but are not limited to, the uncertainties that remain with respect to the COVID-19 pandemic, variants of the virus, governmental and societal responses thereto, including requirements and mandates with respect to vaccines, vaccine distribution and administration levels, and the adverse effects the foregoing may have on our business or economic conditions generally. For more information concerning these and other factors that could cause actual results to differ from those expressed or forecasted, see Valero's annual report on Form 10-K, quarterly reports on Form 10-Q, and other reports filed with the Securities and Exchange Commission and available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earnings release and the accompanying earnings release tables include references to financial measures that are not defined under U.S. generally accepted accounting principles (GAAP). These non-GAAP measures include adjusted net income (loss) attributable to Valero stockholders, adjusted earnings (loss) per common share - assuming dilution, refining margin, renewable diesel margin, ethanol margin, adjusted refining operating income (loss), adjusted renewable diesel operating income, adjusted ethanol operating income (loss), adjusted net cash provided by (used in) operating activities, and capital investments attributable to Valero. These non-GAAP financial measures have been included to help facilitate the comparison of operating results between periods. See the accompanying earnings release tables for a reconciliation of non-GAAP measures to their most directly comparable U.S. GAAP measures. Note (h) to the earnings release tables provides reasons for the use of these non-GAAP financial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(millions of dollars, except per share amounts)   (unaudited)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48,308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70,865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43,832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76,855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48,818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 expense (benefit)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(f)</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   assuming dilution (in millions) (g)</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36"/>
        <w:gridCol w:w="240"/>
        <w:gridCol w:w="236"/>
        <w:gridCol w:w="236"/>
        <w:gridCol w:w="236"/>
        <w:gridCol w:w="236"/>
        <w:gridCol w:w="240"/>
        <w:gridCol w:w="236"/>
        <w:gridCol w:w="236"/>
        <w:gridCol w:w="236"/>
        <w:gridCol w:w="240"/>
        <w:gridCol w:w="236"/>
        <w:gridCol w:w="236"/>
        <w:gridCol w:w="236"/>
        <w:gridCol w:w="236"/>
        <w:gridCol w:w="240"/>
        <w:gridCol w:w="236"/>
        <w:gridCol w:w="236"/>
        <w:gridCol w:w="236"/>
        <w:gridCol w:w="236"/>
        <w:gridCol w:w="24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720" w:type="dxa"/>
            <w:gridSpan w:val="2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2021</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29,520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26,624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28,602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2020</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15,809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15,809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(b)</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14,801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36"/>
        <w:gridCol w:w="240"/>
        <w:gridCol w:w="236"/>
        <w:gridCol w:w="236"/>
        <w:gridCol w:w="236"/>
        <w:gridCol w:w="236"/>
        <w:gridCol w:w="240"/>
        <w:gridCol w:w="236"/>
        <w:gridCol w:w="236"/>
        <w:gridCol w:w="236"/>
        <w:gridCol w:w="240"/>
        <w:gridCol w:w="236"/>
        <w:gridCol w:w="236"/>
        <w:gridCol w:w="236"/>
        <w:gridCol w:w="236"/>
        <w:gridCol w:w="240"/>
        <w:gridCol w:w="236"/>
        <w:gridCol w:w="236"/>
        <w:gridCol w:w="236"/>
        <w:gridCol w:w="236"/>
        <w:gridCol w:w="24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720" w:type="dxa"/>
            <w:gridSpan w:val="2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Eiminations</w:t>
            </w: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2021</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73,426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78,074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73,433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78,074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70,865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72,773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76,855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2020</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48,308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48,308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(b)</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43,832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48,818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gridSpan w:val="2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236"/>
        <w:gridCol w:w="360"/>
        <w:gridCol w:w="236"/>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(h)   (millions of dollars, except per share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attributable to Valero   Energy Corporation stockholders to adjusted net income   (loss) attributable to Valero Energy Corporation   stockholders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gain on sale of MVP interest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Diamond Pipeline asset   impairment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the changes in estimated   useful lives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(f)</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Last-in, first-out (LIFO)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the LIFO liquidation adjustment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the LCM inventory   valuation adjustment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(loss) per common share -   assuming dilution to adjusted earnings (loss) per common   share - assuming dilution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(f)</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236"/>
        <w:gridCol w:w="360"/>
        <w:gridCol w:w="236"/>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(h)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(h)  (millions of dollars)  (unaudited)</w:t>
            </w: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 (continued)</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(h)  (millions of dollars)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(i)</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(h)  (millions of dollars)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(i) (continued)</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236"/>
        <w:gridCol w:w="360"/>
        <w:gridCol w:w="236"/>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(millions of dollars, except per barrel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(j)</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(a) (h) (k)</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RENEWABLE DIESEL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(h) (k)</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ETHANOL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(a) (h) (k)</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per gallon of production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236"/>
        <w:gridCol w:w="360"/>
        <w:gridCol w:w="236"/>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(i)</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(a) (h) (k)</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(a) (h) (k)</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(i) (continued)</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(h) (k)</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(h) (k)</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360"/>
        <w:gridCol w:w="236"/>
        <w:gridCol w:w="236"/>
        <w:gridCol w:w="236"/>
        <w:gridCol w:w="360"/>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200.88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soybean oil (dollars per   pound)</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corn (dollars per bushel)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except per share amounts)   (unaudited)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2021</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and finance lease obligations   included in current liabilities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 less current portion</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84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17,476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4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18,801</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360"/>
        <w:gridCol w:w="236"/>
        <w:gridCol w:w="236"/>
        <w:gridCol w:w="236"/>
        <w:gridCol w:w="360"/>
        <w:gridCol w:w="236"/>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provided by operating activities to   adjusted net cash provided by operating activities (h)</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our joint   venture partner's ownership interest in DGD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(used in)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236"/>
        <w:gridCol w:w="360"/>
        <w:gridCol w:w="236"/>
        <w:gridCol w:w="236"/>
        <w:gridCol w:w="236"/>
        <w:gridCol w:w="236"/>
        <w:gridCol w:w="360"/>
        <w:gridCol w:w="236"/>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total capital investments to capital   investments attributable to Valero (h)</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(excluding variable interest entities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VIEs: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(excluding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of DGD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unconsolidated joint ventures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investments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capital investments attributable to our joint   venture partner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other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NOTES TO EARNINGS RELEASE TABLES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mid-February 2021, many of our refineries and plants were impacted to varying extents by the severe cold, utility disruptions, and higher energy costs arising out of Winter Storm Uri. The higher energy costs resulted from an increase in the prices of natural gas and electricity that significantly exceeded rates that we consider normal, such as the average rates we incurred the month preceding the storm. As a result, our operating income for the nine months ended September 30, 2021 includes estimated excess energy costs of $579 million ($1.15 per share).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7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above-mentioned pre-tax estimated excess energy charge is reflected in our statement of income line items and attributable to our reportable segments for the nine months ended September 30, 2021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36"/>
        <w:gridCol w:w="360"/>
        <w:gridCol w:w="236"/>
        <w:gridCol w:w="236"/>
        <w:gridCol w:w="236"/>
        <w:gridCol w:w="236"/>
        <w:gridCol w:w="236"/>
        <w:gridCol w:w="236"/>
        <w:gridCol w:w="236"/>
        <w:gridCol w:w="24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36"/>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refining segment for the nine months ended September 30, 2021 are associated with the refining segment regions as follows (in millions, except per barrel amounts):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480"/>
        <w:gridCol w:w="236"/>
        <w:gridCol w:w="236"/>
        <w:gridCol w:w="236"/>
        <w:gridCol w:w="480"/>
        <w:gridCol w:w="236"/>
        <w:gridCol w:w="236"/>
        <w:gridCol w:w="236"/>
        <w:gridCol w:w="236"/>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   Continent</w:t>
            </w: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Regions   Combined</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 of estimated excess energy costs   on operating statistics (k)</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 (h)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 (h)</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36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0.71</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ethanol segment for the nine months ended September 30, 2021 affected that segment's operating statistics of (i) operating expenses (excluding depreciation and amortization expenses) per gallon of production and (ii) adjusted operating income per gallon of production by $0.05 (see note (h)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for the three and nine months ended September 30, 2020 includes a charge of $326 million for the impact of an expected liquidation of LIFO inventory layers attributable to our refining segment. Our inventory levels decreased throughout the first nine months of 2020 due to lower demand for our products resulting from the negative economic impacts of the COVID-19 pandemic on our business. Consequently, we expected our inventory levels at December 31, 2020 would remain below their December 31, 2019 levels.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market value of our inventories accounted for under the LIFO method fell below their historical cost on an aggregate basis as of March 31, 2020. As a result, we recorded an LCM inventory valuation adjustment of $2.5 billion in March 2020. The market value of our LIFO inventories improved due to the subsequent recovery in market prices, which resulted in a reversal of $2.2 billion in the three months ended June 30, 2020 and the remaining amount in the three months ended September 30, 2020. Of the $313 million benefit recognized in the three months ended September 30, 2020, $296 million and $17 million is attributable to our refining and ethanol segments, respectively. The LCM inventory valuation adjustment for the nine months ended September 30, 2020 reflects a net benefit of $19 million due solely to the foreign currency translation effect of the portion of the LCM inventory valuation adjustments attributable to our international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for the three and nine months ended September 30, 2021 and 2020 includes accelerated depreciation of $48 million and $30 million, respectively, related to changes in the estimated useful lives of two of our ethanol plants.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 April 19, 2021, we sold a 24.99 percent membership interest in MVP Terminalling, LLC (MVP), an unconsolidated joint venture with a subsidiary of Magellan Midstream Partners, L.P., for $270 million. "Other income, net" for the nine months ended September 30, 2021 includes a gain on the sale of $62 million.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for the nine months ended September 30, 2021 also includes a $24 million charge representing our portion of the asset impairment loss recognized by Diamond Pipeline LLC, an unconsolidated joint venture with a subsidiary of Plains All American Pipeline, L.P., resulting from the joint venture's cancellation of its pipeline extension project.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statutory tax rate changes were enacted during the second quarter of 2021 (primarily an increase in the U.K. rate from 19 percent to 25 percent effective in 2023), which resulted in the remeasurement of our deferred tax liabilities. Under U.S. generally accepted accounting principles (GAAP), we are required to recognize the effect of a change in tax law in the period of enactment. As a result, we recognized income tax expense of $64 million during the nine months ended September 30, 2021, which represents the net increase in our deferred tax liabilities resulting from the changes in the tax rates.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equivalent shares have been excluded from the computation of loss per common share - assuming dilution and adjusted loss per common share - assuming dilution for the nine months ended September 30, 2021 and for the three and nine months ended September 30, 2020, as the effect of including such shares is antidilutive.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use certain financial measures (as noted below) in the earnings release tables and accompanying earnings release that are not defined under U.S. GAAP and are considered to be non-GAAP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after adjusting for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measures are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 is defined as net income (loss) attributable to Valero Energy Corporation stockholders adjusted to reflect the items noted below, along with their related income tax effect. The income tax effect for the adjustments was calculated using a combined federal and state statutory rate for the U.S.-based adjustments of 22 percent and a local statutory income tax rate for foreign-based adjustments. We have adjusted for these items because we believe that they are not indicative of our core operating performance and that their adjustment results in an important measure of our ongoing financial performance to better assess our underlying business results and trends. The basis for our belief with respect to each adjustment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Gain on sale of MVP interest - The gain on the sale of a 24.99 percent membership interest in MVP (see note (e))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Diamond Pipeline asset impairment - The asset impairment loss related to the cancellation of a capital project associated with Diamond Pipeline LLC (see note (e))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Changes in estimated useful lives - The accelerated depreciation recognized as a result of changes in the estimated useful lives of two of our ethanol plants (see note (d))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Income tax expense related to changes in statutory tax rates - The income tax expense related to changes in certain statutory tax rates (see note (f)) is not indicative of income tax expense associated with the pre-tax results for the nine months ended September 30,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LIFO liquidation adjustment - Generally, the LIFO inventory valuation method provides for the matching of current costs with current revenues. However, a LIFO liquidation results in a portion of our current-year cost of sales being impacted by historical costs, which obscures our current-year financial performance. Therefore, we have excluded the historical cost impact from adjusted net income (loss) attributable to Valero Energy Corporation stockholders. See note (b) for additional details.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LCM inventory valuation adjustment - The LCM inventory valuation adjustment, which is described in note (c), is the result of the market value of our inventories as of March 31, 2020 falling below their historical cost, with the decline in market value resulting from the decline in crude oil and product market prices associated with the negative economic impacts from the COVID-19 pandemic. As market prices improved over the subsequent months, we reversed the writedown. The adjustment obscures our financial performance because it does not result from decisions made by us; therefore, we have excluded the adjustment from adjusted net income (loss) attributable to Valero Energy Corporation stockholders.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is defined as adjusted net income (loss) attributable to Valero Energy Corporation stockholders divided by the number of weighted-average shares outstanding in the applicable period, assuming dilution (see note (g)).</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is defined as refining segment operating income (loss) excluding the LIFO liquidation adjustment (see note (b)), the LCM inventory valuation adjustment (see note (c)),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is defined as renewable diesel segment operating income excluding operating expenses (excluding depreciation and amortization expense), depreciation and amortization expense, and other operating expenses.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is defined as ethanol segment operating income (loss) excluding the LCM inventory valuation adjustment (see note(c)), operating expenses (excluding depreciation and amortization expense), depreciation and amortization expense, and other operating expenses.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is defined as refining segment operating income (loss) excluding the LIFO liquidation adjustment (see note(b)), the LCM inventory valuation adjustment (see note(c)), and other operating expenses. We believe adjusted refining operating income (loss) is an important measure of our refining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is defined as renewable diesel segment operating income excluding other operating expenses. We believe adjusted renewable diesel operating income is an important measure of our renewable diesel segment's operating and financial performance because it excludes an item that is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is defined as ethanol segment operating income (loss) excluding the changes in estimated useful lives (see note(d)), the LCM inventory valuation adjustment (see note(c)), and other operating expenses. We believe adjusted ethanol operating income (loss) is an important measure of our ethanol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 is defined as net cash provided by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Changes in current assets and current liabilities - Current assets net of current liabilities represents our operating liquidity. We believe that the change in our operating liquidity from period to period does not represent cash generated by our operations that is available to fund our investing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DGD's adjusted net cash provided by operating activities attributable to our joint venture partner's ownership interest in DGD - We are a 50/50 joint venture partner in DGD and we consolidate DGD's financial statements. Our renewable diesel segment includes the operations of DGD and the associated activities to market renewable diesel. Because we consolidate DGD's financial statements, all of DGD's net cash provided by operating activities (or operating cash flow) is included in our consolidated net cash provided by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7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partners use DGD's operating cash flow (excluding changes in its current assets and current liabilities) to fund its capital investments rather than distribute all of that cash to themselves. Nevertheless, DGD's operating cash flow is effectively attributable to each partner and only 50 percent of DGD's operating cash flow should be attributed to our net cash provided by operating activities. Therefore, we have adjusted our net cash provided by operating activities for the portion of DGD's operating cash flow attributable to our joint venture partner's ownership interest because we believe that it more accurately reflects the operating cash flow available to us to fund our investing and financing activities. The adjustment is calculated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360"/>
        <w:gridCol w:w="236"/>
        <w:gridCol w:w="236"/>
        <w:gridCol w:w="236"/>
        <w:gridCol w:w="36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changes in current assets and   current liabilities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partner's ownership interest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our joint   venture partner's ownership interest in DGD</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 is defined as all capital expenditures, deferred turnaround and catalyst cost expenditures, and investments in unconsolidated joint ventures presented in our consolidated statements of cash flows, excluding the portion of DGD's capital investments attributable to our joint venture partner and all of the capital expenditures of VIEs other than DGD.    DGD's partners use DGD's operating cash flow (excluding changes in its current assets and current liabilities) to fund its capital investments rather than distribute all of that cash to themselves. Because DGD's operating cash flow is effectively attributable to each partner, only 50percent of DGD's capital investments should be attributed to our net share of total capital investments. We also exclude the capital expenditures of our consolidated VIEs other than DGD because we do not operate those VIEs. We believe capital investments attributable to Valero is an important measure because it more accurately reflects our capital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refining segment regions reflected herein contain the following refineries: U.S. Gulf Coast- Corpus Christi East, Corpus Christi West, Houston, Meraux, Port Arthur, St. Charles, Texas City, and Three Rivers Refineries; U.S. Mid Continent- Ardmore, McKee, and Memphis Refineries; North Atlantic- Pembroke and Quebec City Refineries; and U.S. West Coast- Benicia and Wilmington Refineries.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Primarily includes petrochemicals, gas oils, No. 6 fuel oil, petroleum coke, sulfur, and asphalt.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uses certain operating statistics (as noted below) in the earnings release tables and the accompanying earnings release to evaluate performance between comparable periods. Different companies may calculate them in different ways.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per barrel of throughput, per gallon of sales, and per gallon of production amounts are calculated by dividing the associated dollar amount by the throughput volumes, sales volumes, and production volumes for the period, as applicable.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7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sales volumes, and production volumes are calculated by multiplying throughput volumes per day, sales volumes per day, and production volumes per day (as provided in the accompanying tables), respectively, by the number of days in the applicable period. We use throughput volumes, sales volumes, and production volumes for the refining segment, renewable diesel segment, and ethanol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https://www.businesswire.com/news/home/20211021005514/en/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Valero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Third Quarter 2021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valero.com&amp;esheet=52512944&amp;newsitemid=20211021005514&amp;lan=en-US&amp;anchor=www.valero.com&amp;index=2&amp;md5=df8242e77bc49432f60ab791ff144a4c" TargetMode="External" /><Relationship Id="rId11" Type="http://schemas.openxmlformats.org/officeDocument/2006/relationships/hyperlink" Target="https://www.businesswire.com/news/home/20211021005514/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WT-M1C1-DXY3-0402-00000-00&amp;context=1516831" TargetMode="External" /><Relationship Id="rId9" Type="http://schemas.openxmlformats.org/officeDocument/2006/relationships/hyperlink" Target="https://cts.businesswire.com/ct/CT?id=smartlink&amp;url=http%3A%2F%2Fwww.investorvalero.com&amp;esheet=52512944&amp;newsitemid=20211021005514&amp;lan=en-US&amp;anchor=www.investorvalero.com&amp;index=1&amp;md5=7761c16728a54c88b133ad982f9f09e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Third Quarter 2021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