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sz w:val="40"/>
          <w:szCs w:val="40"/>
        </w:rPr>
      </w:pPr>
      <w:r>
        <w:rPr>
          <w:sz w:val="40"/>
          <w:szCs w:val="40"/>
        </w:rPr>
        <w:t>Protocole expérimental de la phase B</w:t>
      </w:r>
    </w:p>
    <w:p>
      <w:pPr>
        <w:pStyle w:val="Normal"/>
        <w:rPr/>
      </w:pPr>
      <w:r>
        <w:rPr/>
      </w:r>
    </w:p>
    <w:p>
      <w:pPr>
        <w:pStyle w:val="Titre1"/>
        <w:numPr>
          <w:ilvl w:val="0"/>
          <w:numId w:val="1"/>
        </w:numPr>
        <w:rPr>
          <w:sz w:val="32"/>
          <w:szCs w:val="32"/>
        </w:rPr>
      </w:pPr>
      <w:r>
        <w:rPr>
          <w:sz w:val="32"/>
          <w:szCs w:val="32"/>
        </w:rPr>
        <w:t>Rappel des objectifs</w:t>
      </w:r>
    </w:p>
    <w:p>
      <w:pPr>
        <w:pStyle w:val="Corpsdetexte"/>
        <w:rPr>
          <w:sz w:val="24"/>
          <w:szCs w:val="24"/>
        </w:rPr>
      </w:pPr>
      <w:r>
        <w:rPr>
          <w:sz w:val="24"/>
          <w:szCs w:val="24"/>
        </w:rPr>
      </w:r>
    </w:p>
    <w:p>
      <w:pPr>
        <w:pStyle w:val="Corpsdetexte"/>
        <w:rPr>
          <w:i/>
          <w:i/>
          <w:iCs/>
          <w:sz w:val="24"/>
          <w:szCs w:val="24"/>
        </w:rPr>
      </w:pPr>
      <w:r>
        <w:rPr>
          <w:i/>
          <w:iCs/>
        </w:rPr>
        <w:t xml:space="preserve">Objectifs de la phase B : </w:t>
      </w:r>
    </w:p>
    <w:p>
      <w:pPr>
        <w:pStyle w:val="Corpsdetexte"/>
        <w:numPr>
          <w:ilvl w:val="0"/>
          <w:numId w:val="8"/>
        </w:numPr>
        <w:rPr>
          <w:sz w:val="24"/>
          <w:szCs w:val="24"/>
        </w:rPr>
      </w:pPr>
      <w:r>
        <w:rPr>
          <w:color w:val="FF0000"/>
        </w:rPr>
        <w:t xml:space="preserve">Confronter et si besoin adapter ou </w:t>
      </w:r>
      <w:r>
        <w:rPr/>
        <w:t xml:space="preserve">compléter l’arbre décisionnel de la phase A </w:t>
      </w:r>
    </w:p>
    <w:p>
      <w:pPr>
        <w:pStyle w:val="Corpsdetexte"/>
        <w:numPr>
          <w:ilvl w:val="0"/>
          <w:numId w:val="8"/>
        </w:numPr>
        <w:rPr>
          <w:sz w:val="24"/>
          <w:szCs w:val="24"/>
        </w:rPr>
      </w:pPr>
      <w:r>
        <w:rPr/>
        <w:t xml:space="preserve">Établir le profil psychologique </w:t>
      </w:r>
      <w:r>
        <w:rPr>
          <w:color w:val="FF0000"/>
        </w:rPr>
        <w:t xml:space="preserve">et/ou métacognitif </w:t>
      </w:r>
      <w:r>
        <w:rPr/>
        <w:t>d’un joueur</w:t>
      </w:r>
    </w:p>
    <w:p>
      <w:pPr>
        <w:pStyle w:val="Corpsdetexte"/>
        <w:numPr>
          <w:ilvl w:val="0"/>
          <w:numId w:val="8"/>
        </w:numPr>
        <w:rPr>
          <w:sz w:val="24"/>
          <w:szCs w:val="24"/>
        </w:rPr>
      </w:pPr>
      <w:r>
        <w:rPr/>
        <w:t xml:space="preserve">Déterminer les </w:t>
      </w:r>
      <w:r>
        <w:rPr>
          <w:color w:val="FF0000"/>
        </w:rPr>
        <w:t xml:space="preserve">différentes </w:t>
      </w:r>
      <w:r>
        <w:rPr/>
        <w:t>stratégies utilisées par les joueurs et leurs motivations</w:t>
      </w:r>
    </w:p>
    <w:p>
      <w:pPr>
        <w:pStyle w:val="Corpsdetexte"/>
        <w:numPr>
          <w:ilvl w:val="0"/>
          <w:numId w:val="8"/>
        </w:numPr>
        <w:rPr>
          <w:sz w:val="24"/>
          <w:szCs w:val="24"/>
        </w:rPr>
      </w:pPr>
      <w:r>
        <w:rPr/>
        <w:t xml:space="preserve">Repérer des </w:t>
      </w:r>
      <w:r>
        <w:rPr>
          <w:color w:val="FF0000"/>
        </w:rPr>
        <w:t>variations</w:t>
      </w:r>
      <w:r>
        <w:rPr/>
        <w:t>/changements de stratégies naturels et leurs causes</w:t>
      </w:r>
    </w:p>
    <w:p>
      <w:pPr>
        <w:pStyle w:val="Corpsdetexte"/>
        <w:rPr>
          <w:sz w:val="24"/>
          <w:szCs w:val="24"/>
        </w:rPr>
      </w:pPr>
      <w:r>
        <w:rPr>
          <w:sz w:val="24"/>
          <w:szCs w:val="24"/>
        </w:rPr>
      </w:r>
    </w:p>
    <w:p>
      <w:pPr>
        <w:pStyle w:val="Corpsdetexte"/>
        <w:rPr>
          <w:i/>
          <w:i/>
          <w:iCs/>
          <w:sz w:val="24"/>
          <w:szCs w:val="24"/>
        </w:rPr>
      </w:pPr>
      <w:r>
        <w:rPr>
          <w:i/>
          <w:iCs/>
        </w:rPr>
        <w:t>Éléments utilisés pour la réalisation des objectifs :</w:t>
      </w:r>
    </w:p>
    <w:p>
      <w:pPr>
        <w:pStyle w:val="Corpsdetexte"/>
        <w:numPr>
          <w:ilvl w:val="0"/>
          <w:numId w:val="5"/>
        </w:numPr>
        <w:rPr>
          <w:sz w:val="24"/>
          <w:szCs w:val="24"/>
        </w:rPr>
      </w:pPr>
      <w:r>
        <w:rPr/>
        <w:t xml:space="preserve">Gestion de la main initiale des joueurs (voire tout le long de la partie </w:t>
      </w:r>
      <w:r>
        <w:rPr>
          <w:color w:val="FF0000"/>
        </w:rPr>
        <w:t>avec une prédisposition des cartes à distribuer</w:t>
      </w:r>
      <w:r>
        <w:rPr/>
        <w:t>)</w:t>
      </w:r>
    </w:p>
    <w:p>
      <w:pPr>
        <w:pStyle w:val="Corpsdetexte"/>
        <w:numPr>
          <w:ilvl w:val="0"/>
          <w:numId w:val="5"/>
        </w:numPr>
        <w:rPr>
          <w:sz w:val="24"/>
          <w:szCs w:val="24"/>
        </w:rPr>
      </w:pPr>
      <w:r>
        <w:rPr/>
        <w:t xml:space="preserve">Questionnaires </w:t>
      </w:r>
      <w:r>
        <w:rPr>
          <w:color w:val="FF0000"/>
        </w:rPr>
        <w:t xml:space="preserve">psychologiques de personnalité </w:t>
      </w:r>
      <w:r>
        <w:rPr/>
        <w:t>et/ou métacognitifs</w:t>
      </w:r>
    </w:p>
    <w:p>
      <w:pPr>
        <w:pStyle w:val="Corpsdetexte"/>
        <w:numPr>
          <w:ilvl w:val="0"/>
          <w:numId w:val="5"/>
        </w:numPr>
        <w:rPr>
          <w:sz w:val="24"/>
          <w:szCs w:val="24"/>
        </w:rPr>
      </w:pPr>
      <w:r>
        <w:rPr/>
        <w:t xml:space="preserve">Entretien d’auto-confrontation </w:t>
      </w:r>
      <w:r>
        <w:rPr>
          <w:color w:val="FF0000"/>
        </w:rPr>
        <w:t>à réaliser post-jeu</w:t>
      </w:r>
    </w:p>
    <w:p>
      <w:pPr>
        <w:pStyle w:val="ListParagraph"/>
        <w:rPr>
          <w:sz w:val="24"/>
          <w:szCs w:val="24"/>
        </w:rPr>
      </w:pPr>
      <w:r>
        <w:rPr>
          <w:sz w:val="24"/>
          <w:szCs w:val="24"/>
        </w:rPr>
      </w:r>
    </w:p>
    <w:p>
      <w:pPr>
        <w:pStyle w:val="Titre1"/>
        <w:numPr>
          <w:ilvl w:val="0"/>
          <w:numId w:val="1"/>
        </w:numPr>
        <w:rPr>
          <w:sz w:val="32"/>
          <w:szCs w:val="32"/>
        </w:rPr>
      </w:pPr>
      <w:r>
        <w:rPr>
          <w:sz w:val="32"/>
          <w:szCs w:val="32"/>
        </w:rPr>
        <w:t>Déroulement général de l’expérimentation</w:t>
      </w:r>
    </w:p>
    <w:p>
      <w:pPr>
        <w:pStyle w:val="Normal"/>
        <w:rPr/>
      </w:pPr>
      <w:r>
        <w:rPr/>
      </w:r>
    </w:p>
    <w:p>
      <w:pPr>
        <w:pStyle w:val="Corpsdetexte"/>
        <w:ind w:firstLine="360"/>
        <w:rPr>
          <w:sz w:val="24"/>
          <w:szCs w:val="24"/>
        </w:rPr>
      </w:pPr>
      <w:r>
        <w:rPr/>
        <w:t xml:space="preserve">Les parties seront filmées afin de pouvoir revenir sur chaque action notamment pendant l’entretien d’auto-confrontation, mais il faudra tout de même remplir des grilles d’observation </w:t>
      </w:r>
      <w:r>
        <w:rPr>
          <w:color w:val="FF0000"/>
        </w:rPr>
        <w:t>afin de pouvoir revenir dessus facilement.</w:t>
      </w:r>
    </w:p>
    <w:p>
      <w:pPr>
        <w:pStyle w:val="Corpsdetexte"/>
        <w:ind w:firstLine="360"/>
        <w:rPr>
          <w:sz w:val="24"/>
          <w:szCs w:val="24"/>
        </w:rPr>
      </w:pPr>
      <w:r>
        <w:rPr/>
        <w:t xml:space="preserve">Les joueurs commencent la partie avec le même set de cartes déterminé à l’avance comme </w:t>
      </w:r>
      <w:r>
        <w:rPr>
          <w:color w:val="FF0000"/>
        </w:rPr>
        <w:t xml:space="preserve">une main de jeu donnant lieu à un choix de plusieurs stratégies possibles </w:t>
      </w:r>
      <w:r>
        <w:rPr/>
        <w:t>pour ne pas influencer la stratégie initiale du joueur.</w:t>
      </w:r>
    </w:p>
    <w:p>
      <w:pPr>
        <w:pStyle w:val="Normal"/>
        <w:rPr>
          <w:sz w:val="24"/>
          <w:szCs w:val="24"/>
        </w:rPr>
      </w:pPr>
      <w:r>
        <w:rPr>
          <w:sz w:val="24"/>
          <w:szCs w:val="24"/>
        </w:rPr>
      </w:r>
    </w:p>
    <w:p>
      <w:pPr>
        <w:pStyle w:val="Corpsdetexte"/>
        <w:rPr>
          <w:sz w:val="24"/>
          <w:szCs w:val="24"/>
        </w:rPr>
      </w:pPr>
      <w:r>
        <w:rPr>
          <w:sz w:val="24"/>
          <w:szCs w:val="24"/>
        </w:rPr>
      </w:r>
    </w:p>
    <w:p>
      <w:pPr>
        <w:pStyle w:val="Corpsdetexte"/>
        <w:ind w:firstLine="360"/>
        <w:rPr/>
      </w:pPr>
      <w:r>
        <w:rPr>
          <w:b/>
          <w:bCs/>
        </w:rPr>
        <w:t xml:space="preserve">Déroulement de la phase B </w:t>
      </w:r>
      <w:r>
        <w:rPr/>
        <w:t>:</w:t>
      </w:r>
    </w:p>
    <w:p>
      <w:pPr>
        <w:pStyle w:val="Corpsdetexte"/>
        <w:ind w:firstLine="360"/>
        <w:rPr/>
      </w:pPr>
      <w:r>
        <w:rPr/>
        <w:t xml:space="preserve">3 groupes différents de 4 joueurs : </w:t>
      </w:r>
    </w:p>
    <w:p>
      <w:pPr>
        <w:pStyle w:val="Corpsdetexte"/>
        <w:numPr>
          <w:ilvl w:val="0"/>
          <w:numId w:val="5"/>
        </w:numPr>
        <w:rPr>
          <w:sz w:val="24"/>
          <w:szCs w:val="24"/>
        </w:rPr>
      </w:pPr>
      <w:r>
        <w:rPr/>
        <w:t>1 groupe de 4 experts du jeu ;</w:t>
      </w:r>
    </w:p>
    <w:p>
      <w:pPr>
        <w:pStyle w:val="Corpsdetexte"/>
        <w:numPr>
          <w:ilvl w:val="0"/>
          <w:numId w:val="5"/>
        </w:numPr>
        <w:rPr>
          <w:sz w:val="24"/>
          <w:szCs w:val="24"/>
        </w:rPr>
      </w:pPr>
      <w:r>
        <w:rPr/>
        <w:t xml:space="preserve">1 groupe de 4 débutants ; </w:t>
      </w:r>
    </w:p>
    <w:p>
      <w:pPr>
        <w:pStyle w:val="Corpsdetexte"/>
        <w:numPr>
          <w:ilvl w:val="0"/>
          <w:numId w:val="5"/>
        </w:numPr>
        <w:rPr>
          <w:sz w:val="24"/>
          <w:szCs w:val="24"/>
        </w:rPr>
      </w:pPr>
      <w:r>
        <w:rPr/>
        <w:t>1 groupe avec 2 experts et 2 débutants ;</w:t>
      </w:r>
    </w:p>
    <w:p>
      <w:pPr>
        <w:pStyle w:val="Corpsdetexte"/>
        <w:numPr>
          <w:ilvl w:val="0"/>
          <w:numId w:val="5"/>
        </w:numPr>
        <w:rPr>
          <w:sz w:val="24"/>
          <w:szCs w:val="24"/>
        </w:rPr>
      </w:pPr>
      <w:r>
        <w:rPr/>
        <w:t xml:space="preserve"> </w:t>
      </w:r>
      <w:r>
        <w:rPr/>
        <w:t xml:space="preserve">Chacun des joueurs de chaque groupe joueront 2 parties. </w:t>
      </w:r>
    </w:p>
    <w:p>
      <w:pPr>
        <w:pStyle w:val="Corpsdetexte"/>
        <w:ind w:left="360" w:firstLine="348"/>
        <w:rPr>
          <w:sz w:val="24"/>
          <w:szCs w:val="24"/>
        </w:rPr>
      </w:pPr>
      <w:r>
        <w:rPr/>
        <w:t xml:space="preserve">3 expérimentateurs suivront chaque partie : chacun devra remplir la grille d’observation de 1 ou 2 des 4 joueurs </w:t>
      </w:r>
      <w:r>
        <w:rPr>
          <w:color w:val="FF0000"/>
        </w:rPr>
        <w:t xml:space="preserve">(en fonction du nombre de personnes présentes pour l’observation </w:t>
      </w:r>
      <w:r>
        <w:rPr>
          <w:rFonts w:eastAsia="Wingdings" w:cs="Wingdings" w:ascii="Wingdings" w:hAnsi="Wingdings"/>
          <w:color w:val="FF0000"/>
        </w:rPr>
        <w:t></w:t>
      </w:r>
      <w:r>
        <w:rPr>
          <w:color w:val="FF0000"/>
        </w:rPr>
        <w:t xml:space="preserve"> idéalement 4 observateurs). </w:t>
      </w:r>
    </w:p>
    <w:p>
      <w:pPr>
        <w:pStyle w:val="Corpsdetexte"/>
        <w:ind w:left="360" w:firstLine="348"/>
        <w:rPr>
          <w:sz w:val="24"/>
          <w:szCs w:val="24"/>
        </w:rPr>
      </w:pPr>
      <w:r>
        <w:rPr/>
        <w:t xml:space="preserve">Chaque expérimentateur mènera ensuite des entretiens d’auto-confrontation avec chacun des joueurs qu’il a observé, afin de vérifier si l’identification de ses intentions et </w:t>
      </w:r>
      <w:r>
        <w:rPr>
          <w:color w:val="FF0000"/>
        </w:rPr>
        <w:t xml:space="preserve">de ses </w:t>
      </w:r>
      <w:r>
        <w:rPr/>
        <w:t>stratégies était correcte.</w:t>
      </w:r>
    </w:p>
    <w:p>
      <w:pPr>
        <w:pStyle w:val="Corpsdetexte"/>
        <w:rPr>
          <w:sz w:val="24"/>
          <w:szCs w:val="24"/>
        </w:rPr>
      </w:pPr>
      <w:r>
        <w:rPr>
          <w:sz w:val="24"/>
          <w:szCs w:val="24"/>
        </w:rPr>
      </w:r>
    </w:p>
    <w:p>
      <w:pPr>
        <w:pStyle w:val="Corpsdetexte"/>
        <w:rPr/>
      </w:pPr>
      <w:r>
        <w:rPr/>
        <w:t>GRILLE D’OBSERVATION POUR CHAQUE JOUEUR :</w:t>
      </w:r>
    </w:p>
    <w:p>
      <w:pPr>
        <w:pStyle w:val="Corpsdetexte"/>
        <w:rPr>
          <w:sz w:val="24"/>
          <w:szCs w:val="24"/>
        </w:rPr>
      </w:pPr>
      <w:r>
        <w:rPr>
          <w:sz w:val="24"/>
          <w:szCs w:val="24"/>
        </w:rPr>
      </w:r>
    </w:p>
    <w:p>
      <w:pPr>
        <w:pStyle w:val="Corpsdetexte"/>
        <w:numPr>
          <w:ilvl w:val="0"/>
          <w:numId w:val="2"/>
        </w:numPr>
        <w:rPr>
          <w:sz w:val="24"/>
          <w:szCs w:val="24"/>
        </w:rPr>
      </w:pPr>
      <w:r>
        <w:rPr/>
        <w:t>Âge, genre, niveau d’études, situation actuelle ;</w:t>
      </w:r>
    </w:p>
    <w:p>
      <w:pPr>
        <w:pStyle w:val="Corpsdetexte"/>
        <w:numPr>
          <w:ilvl w:val="0"/>
          <w:numId w:val="2"/>
        </w:numPr>
        <w:rPr>
          <w:sz w:val="24"/>
          <w:szCs w:val="24"/>
        </w:rPr>
      </w:pPr>
      <w:r>
        <w:rPr/>
        <w:t>Expérience préalable sur le jeu de Galèrapagos ;</w:t>
      </w:r>
    </w:p>
    <w:p>
      <w:pPr>
        <w:pStyle w:val="Corpsdetexte"/>
        <w:numPr>
          <w:ilvl w:val="0"/>
          <w:numId w:val="2"/>
        </w:numPr>
        <w:rPr>
          <w:sz w:val="24"/>
          <w:szCs w:val="24"/>
        </w:rPr>
      </w:pPr>
      <w:r>
        <w:rPr/>
        <w:t>Pendant chaque partie :</w:t>
      </w:r>
    </w:p>
    <w:p>
      <w:pPr>
        <w:pStyle w:val="Corpsdetexte"/>
        <w:rPr>
          <w:sz w:val="24"/>
          <w:szCs w:val="24"/>
        </w:rPr>
      </w:pPr>
      <w:r>
        <w:rPr/>
        <w:t>(Avant de démarrer la partie, il faudra encourager les joueurs à communiquer entre eux et discuter des décisions afin d’avoir plus d’éléments verbaux à analyser. Cela permettra également de connaître le consensus de l’équipe à tout moment afin de mieux interpréter les actions individuelles comme étant des actions individualistes ou collectives, suivant si elles répondent ou non au consensus atteint.)</w:t>
      </w:r>
    </w:p>
    <w:p>
      <w:pPr>
        <w:pStyle w:val="Corpsdetexte"/>
        <w:numPr>
          <w:ilvl w:val="1"/>
          <w:numId w:val="3"/>
        </w:numPr>
        <w:rPr>
          <w:sz w:val="24"/>
          <w:szCs w:val="24"/>
        </w:rPr>
      </w:pPr>
      <w:r>
        <w:rPr/>
        <w:t xml:space="preserve">Noter les cartes dont dispose le joueur </w:t>
      </w:r>
      <w:r>
        <w:rPr>
          <w:color w:val="FF0000"/>
        </w:rPr>
        <w:t>au début de la partie (4 cartes)</w:t>
      </w:r>
    </w:p>
    <w:p>
      <w:pPr>
        <w:pStyle w:val="Corpsdetexte"/>
        <w:numPr>
          <w:ilvl w:val="1"/>
          <w:numId w:val="3"/>
        </w:numPr>
        <w:rPr>
          <w:sz w:val="24"/>
          <w:szCs w:val="24"/>
        </w:rPr>
      </w:pPr>
      <w:r>
        <w:rPr/>
        <w:t>Noter chaque action / décision ainsi que les divers verbatims et observations (non-verbal, comportement…) selon la grille d’observation ci-dessous.</w:t>
      </w:r>
    </w:p>
    <w:p>
      <w:pPr>
        <w:pStyle w:val="Corpsdetexte"/>
        <w:rPr>
          <w:sz w:val="24"/>
          <w:szCs w:val="24"/>
        </w:rPr>
      </w:pPr>
      <w:r>
        <w:rPr>
          <w:sz w:val="24"/>
          <w:szCs w:val="24"/>
        </w:rPr>
      </w:r>
    </w:p>
    <w:p>
      <w:pPr>
        <w:pStyle w:val="Corpsdetexte"/>
        <w:numPr>
          <w:ilvl w:val="0"/>
          <w:numId w:val="3"/>
        </w:numPr>
        <w:rPr>
          <w:sz w:val="24"/>
          <w:szCs w:val="24"/>
        </w:rPr>
      </w:pPr>
      <w:r>
        <w:rPr/>
        <w:t>Entretien d’auto-confrontation :</w:t>
      </w:r>
    </w:p>
    <w:p>
      <w:pPr>
        <w:pStyle w:val="Corpsdetexte"/>
        <w:numPr>
          <w:ilvl w:val="1"/>
          <w:numId w:val="3"/>
        </w:numPr>
        <w:rPr>
          <w:sz w:val="24"/>
          <w:szCs w:val="24"/>
        </w:rPr>
      </w:pPr>
      <w:r>
        <w:rPr/>
        <w:t xml:space="preserve">Lors de l’entretien d’auto-confrontation, il faudra revenir sur chaque action prise et demander au joueur quels étaient son intention et son objectif </w:t>
      </w:r>
      <w:r>
        <w:rPr>
          <w:color w:val="FF0000"/>
        </w:rPr>
        <w:t>sans pour autant influencer sa réponse</w:t>
      </w:r>
      <w:r>
        <w:rPr/>
        <w:t>.</w:t>
      </w:r>
    </w:p>
    <w:p>
      <w:pPr>
        <w:pStyle w:val="Corpsdetexte"/>
        <w:numPr>
          <w:ilvl w:val="1"/>
          <w:numId w:val="3"/>
        </w:numPr>
        <w:rPr>
          <w:sz w:val="24"/>
          <w:szCs w:val="24"/>
        </w:rPr>
      </w:pPr>
      <w:r>
        <w:rPr/>
        <w:t xml:space="preserve">On pourra envisager de suivre ou précéder cet entretien d’auto-confrontation </w:t>
      </w:r>
      <w:r>
        <w:rPr>
          <w:color w:val="FF0000"/>
        </w:rPr>
        <w:t xml:space="preserve">(temporalité à estimer) </w:t>
      </w:r>
      <w:r>
        <w:rPr/>
        <w:t>avec un questionnaire de personnalité afin de contribuer à interpréter les résultats.</w:t>
      </w:r>
    </w:p>
    <w:p>
      <w:pPr>
        <w:pStyle w:val="Corpsdetexte"/>
        <w:numPr>
          <w:ilvl w:val="1"/>
          <w:numId w:val="3"/>
        </w:numPr>
        <w:rPr>
          <w:color w:val="FF0000"/>
          <w:sz w:val="24"/>
          <w:szCs w:val="24"/>
        </w:rPr>
      </w:pPr>
      <w:r>
        <w:rPr>
          <w:color w:val="FF0000"/>
        </w:rPr>
        <w:t xml:space="preserve">La temporalité du passage des questionnaires offre deux possibilités : </w:t>
      </w:r>
    </w:p>
    <w:p>
      <w:pPr>
        <w:pStyle w:val="Corpsdetexte"/>
        <w:rPr>
          <w:color w:val="FF0000"/>
          <w:sz w:val="24"/>
          <w:szCs w:val="24"/>
        </w:rPr>
      </w:pPr>
      <w:r>
        <w:rPr>
          <w:color w:val="FF0000"/>
          <w:sz w:val="24"/>
          <w:szCs w:val="24"/>
        </w:rPr>
      </w:r>
    </w:p>
    <w:p>
      <w:pPr>
        <w:pStyle w:val="Corpsdetexte"/>
        <w:numPr>
          <w:ilvl w:val="3"/>
          <w:numId w:val="3"/>
        </w:numPr>
        <w:rPr>
          <w:i/>
          <w:i/>
          <w:iCs/>
          <w:color w:val="FF0000"/>
          <w:sz w:val="24"/>
          <w:szCs w:val="24"/>
        </w:rPr>
      </w:pPr>
      <w:r>
        <w:rPr>
          <w:i/>
          <w:iCs/>
          <w:color w:val="FF0000"/>
          <w:sz w:val="24"/>
          <w:szCs w:val="24"/>
        </w:rPr>
        <w:t>Antérieure au jeu : demande plus de temps au joueur, mais assure de ne pas être biaisé par le jeu ;</w:t>
      </w:r>
    </w:p>
    <w:p>
      <w:pPr>
        <w:pStyle w:val="Corpsdetexte"/>
        <w:ind w:left="2880" w:hanging="0"/>
        <w:rPr>
          <w:i/>
          <w:i/>
          <w:iCs/>
          <w:color w:val="FF0000"/>
          <w:sz w:val="24"/>
          <w:szCs w:val="24"/>
        </w:rPr>
      </w:pPr>
      <w:r>
        <w:rPr>
          <w:i/>
          <w:iCs/>
          <w:color w:val="FF0000"/>
          <w:sz w:val="24"/>
          <w:szCs w:val="24"/>
        </w:rPr>
      </w:r>
    </w:p>
    <w:p>
      <w:pPr>
        <w:pStyle w:val="Corpsdetexte"/>
        <w:numPr>
          <w:ilvl w:val="3"/>
          <w:numId w:val="3"/>
        </w:numPr>
        <w:rPr>
          <w:i/>
          <w:i/>
          <w:iCs/>
          <w:color w:val="FF0000"/>
          <w:sz w:val="24"/>
          <w:szCs w:val="24"/>
        </w:rPr>
      </w:pPr>
      <w:r>
        <w:rPr>
          <w:i/>
          <w:iCs/>
          <w:color w:val="FF0000"/>
          <w:sz w:val="24"/>
          <w:szCs w:val="24"/>
        </w:rPr>
        <w:t>Postérieure au jeu : plus simple et pratique pour l’expérience, mais attention à ne pas focaliser le joueur sur sa personnalité induite par un jeu de stratégie (surtout pour l’aspect métacognition) ;</w:t>
      </w:r>
    </w:p>
    <w:p>
      <w:pPr>
        <w:pStyle w:val="Corpsdetexte"/>
        <w:rPr>
          <w:i/>
          <w:i/>
          <w:iCs/>
          <w:color w:val="FF0000"/>
          <w:sz w:val="24"/>
          <w:szCs w:val="24"/>
        </w:rPr>
      </w:pPr>
      <w:r>
        <w:rPr>
          <w:i/>
          <w:iCs/>
          <w:color w:val="FF0000"/>
          <w:sz w:val="24"/>
          <w:szCs w:val="24"/>
        </w:rPr>
      </w:r>
    </w:p>
    <w:p>
      <w:pPr>
        <w:pStyle w:val="Corpsdetexte"/>
        <w:numPr>
          <w:ilvl w:val="3"/>
          <w:numId w:val="3"/>
        </w:numPr>
        <w:rPr>
          <w:i/>
          <w:i/>
          <w:iCs/>
          <w:color w:val="FF0000"/>
          <w:sz w:val="24"/>
          <w:szCs w:val="24"/>
        </w:rPr>
      </w:pPr>
      <w:r>
        <w:rPr>
          <w:i/>
          <w:iCs/>
          <w:color w:val="FF0000"/>
          <w:sz w:val="24"/>
          <w:szCs w:val="24"/>
        </w:rPr>
        <w:t>Nous recommandons donc de transférer les questionnaires déterminés avant la journée de l’expérience de jeu.</w:t>
      </w:r>
    </w:p>
    <w:p>
      <w:pPr>
        <w:pStyle w:val="Corpsdetexte"/>
        <w:ind w:left="2880" w:hanging="0"/>
        <w:rPr>
          <w:i/>
          <w:i/>
          <w:iCs/>
          <w:color w:val="FF0000"/>
          <w:sz w:val="24"/>
          <w:szCs w:val="24"/>
        </w:rPr>
      </w:pPr>
      <w:r>
        <w:rPr>
          <w:i/>
          <w:iCs/>
          <w:color w:val="FF0000"/>
          <w:sz w:val="24"/>
          <w:szCs w:val="24"/>
        </w:rPr>
      </w:r>
    </w:p>
    <w:p>
      <w:pPr>
        <w:pStyle w:val="Titre1"/>
        <w:numPr>
          <w:ilvl w:val="0"/>
          <w:numId w:val="1"/>
        </w:numPr>
        <w:rPr>
          <w:sz w:val="32"/>
          <w:szCs w:val="32"/>
        </w:rPr>
      </w:pPr>
      <w:r>
        <w:rPr>
          <w:sz w:val="32"/>
          <w:szCs w:val="32"/>
        </w:rPr>
        <w:t>Déroulement détaillé de l’expérimentation</w:t>
      </w:r>
    </w:p>
    <w:p>
      <w:pPr>
        <w:pStyle w:val="Normal"/>
        <w:rPr/>
      </w:pPr>
      <w:r>
        <w:rPr/>
      </w:r>
    </w:p>
    <w:p>
      <w:pPr>
        <w:pStyle w:val="Titre2"/>
        <w:numPr>
          <w:ilvl w:val="0"/>
          <w:numId w:val="4"/>
        </w:numPr>
        <w:rPr>
          <w:sz w:val="28"/>
          <w:szCs w:val="28"/>
        </w:rPr>
      </w:pPr>
      <w:r>
        <w:rPr>
          <w:sz w:val="28"/>
          <w:szCs w:val="28"/>
        </w:rPr>
        <w:t>Questionnaires</w:t>
      </w:r>
    </w:p>
    <w:p>
      <w:pPr>
        <w:pStyle w:val="Corpsdetexte"/>
        <w:rPr>
          <w:sz w:val="28"/>
          <w:szCs w:val="28"/>
        </w:rPr>
      </w:pPr>
      <w:r>
        <w:rPr>
          <w:sz w:val="28"/>
          <w:szCs w:val="28"/>
        </w:rPr>
      </w:r>
    </w:p>
    <w:p>
      <w:pPr>
        <w:pStyle w:val="Corpsdetexte"/>
        <w:ind w:firstLine="360"/>
        <w:rPr/>
      </w:pPr>
      <w:r>
        <w:rPr/>
        <w:t xml:space="preserve">Les questionnaires seront envoyés </w:t>
      </w:r>
      <w:r>
        <w:rPr>
          <w:b/>
          <w:bCs/>
        </w:rPr>
        <w:t>en avance</w:t>
      </w:r>
      <w:r>
        <w:rPr/>
        <w:t xml:space="preserve"> aux sujets qui auront la possibilité d’y répondre à distance. Ils doivent permettre d’évaluer les profils psychologiques et </w:t>
      </w:r>
      <w:r>
        <w:rPr>
          <w:color w:val="FF0000"/>
        </w:rPr>
        <w:t xml:space="preserve">métacognitifs </w:t>
      </w:r>
      <w:r>
        <w:rPr/>
        <w:t xml:space="preserve">des joueurs dans leur vie quotidienne, en dehors de la partie de Galèrapagos. </w:t>
      </w:r>
    </w:p>
    <w:p>
      <w:pPr>
        <w:pStyle w:val="Corpsdetexte"/>
        <w:ind w:firstLine="360"/>
        <w:rPr/>
      </w:pPr>
      <w:r>
        <w:rPr/>
        <w:t xml:space="preserve">En remplissant les questionnaires à l’avance, nous cherchons à ne pas influencer le profil </w:t>
      </w:r>
      <w:r>
        <w:rPr>
          <w:color w:val="FF0000"/>
        </w:rPr>
        <w:t xml:space="preserve">psychologique et métacognitif </w:t>
      </w:r>
      <w:r>
        <w:rPr/>
        <w:t>du joueur par son attitude lors de la partie.</w:t>
      </w:r>
    </w:p>
    <w:p>
      <w:pPr>
        <w:pStyle w:val="Corpsdetexte"/>
        <w:rPr/>
      </w:pPr>
      <w:r>
        <w:rPr/>
        <w:t xml:space="preserve">Afin de garder la méthode de mesure des profils psychologiques et métacognitifs, nous ne mélangeons pas les questions des questionnaires et restons fidèles aux méthodes d’évaluation validées par les recherches bibliographiques. </w:t>
      </w:r>
    </w:p>
    <w:p>
      <w:pPr>
        <w:pStyle w:val="Corpsdetexte"/>
        <w:rPr/>
      </w:pPr>
      <w:r>
        <w:rPr/>
      </w:r>
    </w:p>
    <w:p>
      <w:pPr>
        <w:pStyle w:val="Corpsdetexte"/>
        <w:ind w:firstLine="708"/>
        <w:rPr/>
      </w:pPr>
      <w:r>
        <w:rPr/>
        <w:t xml:space="preserve">Pour obtenir une plus large description du profil du joueur, nous choisissons de garder au moins </w:t>
      </w:r>
      <w:r>
        <w:rPr>
          <w:b/>
          <w:bCs/>
        </w:rPr>
        <w:t>un questionnaire métacognitif</w:t>
      </w:r>
      <w:r>
        <w:rPr/>
        <w:t xml:space="preserve"> et au moins </w:t>
      </w:r>
      <w:r>
        <w:rPr>
          <w:b/>
          <w:bCs/>
        </w:rPr>
        <w:t>un questionnaire psychologique</w:t>
      </w:r>
      <w:r>
        <w:rPr/>
        <w:t>. Les différents questionnaires sont comparés afin de justifier le choix de ces questionnaires.</w:t>
      </w:r>
    </w:p>
    <w:p>
      <w:pPr>
        <w:pStyle w:val="Normal"/>
        <w:rPr/>
      </w:pPr>
      <w:r>
        <w:rPr/>
      </w:r>
    </w:p>
    <w:tbl>
      <w:tblPr>
        <w:tblStyle w:val="Grilledutableau"/>
        <w:tblW w:w="10260" w:type="dxa"/>
        <w:jc w:val="left"/>
        <w:tblInd w:w="-762" w:type="dxa"/>
        <w:tblLayout w:type="fixed"/>
        <w:tblCellMar>
          <w:top w:w="0" w:type="dxa"/>
          <w:left w:w="108" w:type="dxa"/>
          <w:bottom w:w="0" w:type="dxa"/>
          <w:right w:w="108" w:type="dxa"/>
        </w:tblCellMar>
        <w:tblLook w:firstRow="1" w:noVBand="1" w:lastRow="0" w:firstColumn="1" w:lastColumn="0" w:noHBand="0" w:val="04a0"/>
      </w:tblPr>
      <w:tblGrid>
        <w:gridCol w:w="1755"/>
        <w:gridCol w:w="2835"/>
        <w:gridCol w:w="2835"/>
        <w:gridCol w:w="2834"/>
      </w:tblGrid>
      <w:tr>
        <w:trPr/>
        <w:tc>
          <w:tcPr>
            <w:tcW w:w="1755" w:type="dxa"/>
            <w:tcBorders/>
            <w:shd w:color="auto" w:fill="999999" w:val="clear"/>
            <w:vAlign w:val="center"/>
          </w:tcPr>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r>
          </w:p>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t>Questionnaires méta-cognitifs</w:t>
            </w:r>
          </w:p>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r>
          </w:p>
        </w:tc>
        <w:tc>
          <w:tcPr>
            <w:tcW w:w="2835" w:type="dxa"/>
            <w:tcBorders/>
            <w:shd w:color="auto" w:fill="DDDDDD" w:val="clear"/>
            <w:vAlign w:val="center"/>
          </w:tcPr>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t>Metacognitive Awareness Inventory (MAI)</w:t>
            </w:r>
          </w:p>
        </w:tc>
        <w:tc>
          <w:tcPr>
            <w:tcW w:w="2835" w:type="dxa"/>
            <w:tcBorders>
              <w:top w:val="single" w:sz="12" w:space="0" w:color="5983B0"/>
              <w:left w:val="single" w:sz="12" w:space="0" w:color="5983B0"/>
              <w:right w:val="single" w:sz="12" w:space="0" w:color="5983B0"/>
            </w:tcBorders>
            <w:shd w:color="auto" w:fill="DDDDDD" w:val="clear"/>
            <w:vAlign w:val="center"/>
          </w:tcPr>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t>Short French Metacognition questionnaire</w:t>
            </w:r>
          </w:p>
        </w:tc>
        <w:tc>
          <w:tcPr>
            <w:tcW w:w="2834" w:type="dxa"/>
            <w:tcBorders/>
            <w:shd w:color="auto" w:fill="DDDDDD" w:val="clear"/>
            <w:vAlign w:val="center"/>
          </w:tcPr>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t>Cognitive Control Inventory (CCI)</w:t>
            </w:r>
          </w:p>
        </w:tc>
      </w:tr>
      <w:tr>
        <w:trPr/>
        <w:tc>
          <w:tcPr>
            <w:tcW w:w="1755" w:type="dxa"/>
            <w:tcBorders/>
            <w:shd w:color="auto" w:fill="CCCCCC" w:val="clear"/>
            <w:vAlign w:val="center"/>
          </w:tcPr>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t>Avantages</w:t>
            </w:r>
          </w:p>
        </w:tc>
        <w:tc>
          <w:tcPr>
            <w:tcW w:w="2835" w:type="dxa"/>
            <w:tcBorders/>
            <w:vAlign w:val="center"/>
          </w:tcPr>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t>- Diversité des données métacognitives mesurées</w:t>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t>- Validité du modèle</w:t>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r>
          </w:p>
        </w:tc>
        <w:tc>
          <w:tcPr>
            <w:tcW w:w="2835" w:type="dxa"/>
            <w:tcBorders>
              <w:top w:val="nil"/>
              <w:left w:val="single" w:sz="12" w:space="0" w:color="5983B0"/>
              <w:right w:val="single" w:sz="12" w:space="0" w:color="5983B0"/>
            </w:tcBorders>
            <w:shd w:color="auto" w:fill="DEE6EF" w:val="clear"/>
            <w:vAlign w:val="center"/>
          </w:tcPr>
          <w:p>
            <w:pPr>
              <w:pStyle w:val="ListParagraph"/>
              <w:widowControl/>
              <w:suppressAutoHyphens w:val="true"/>
              <w:spacing w:lineRule="auto" w:line="240" w:before="0" w:after="0"/>
              <w:ind w:hanging="0"/>
              <w:contextualSpacing/>
              <w:jc w:val="left"/>
              <w:rPr>
                <w:rFonts w:ascii="Arial" w:hAnsi="Arial" w:eastAsia="Aptos"/>
              </w:rPr>
            </w:pPr>
            <w:r>
              <w:rPr>
                <w:rFonts w:eastAsia="Aptos" w:cs="" w:ascii="Arial" w:hAnsi="Arial"/>
                <w:kern w:val="2"/>
                <w:sz w:val="22"/>
                <w:szCs w:val="22"/>
                <w:lang w:val="fr-FR" w:eastAsia="en-US" w:bidi="ar-SA"/>
              </w:rPr>
              <w:t>- Langue française</w:t>
            </w:r>
          </w:p>
          <w:p>
            <w:pPr>
              <w:pStyle w:val="ListParagraph"/>
              <w:widowControl/>
              <w:suppressAutoHyphens w:val="true"/>
              <w:spacing w:lineRule="auto" w:line="240" w:before="0" w:after="0"/>
              <w:ind w:hanging="0"/>
              <w:contextualSpacing/>
              <w:jc w:val="left"/>
              <w:rPr>
                <w:rFonts w:ascii="Arial" w:hAnsi="Arial" w:eastAsia="Aptos"/>
              </w:rPr>
            </w:pPr>
            <w:r>
              <w:rPr>
                <w:rFonts w:eastAsia="Aptos" w:cs="" w:ascii="Arial" w:hAnsi="Arial"/>
                <w:kern w:val="2"/>
                <w:sz w:val="22"/>
                <w:szCs w:val="22"/>
                <w:lang w:val="fr-FR" w:eastAsia="en-US" w:bidi="ar-SA"/>
              </w:rPr>
              <w:t>- Durée rapide (30 questions)</w:t>
            </w:r>
          </w:p>
        </w:tc>
        <w:tc>
          <w:tcPr>
            <w:tcW w:w="2834" w:type="dxa"/>
            <w:tcBorders/>
            <w:vAlign w:val="center"/>
          </w:tcPr>
          <w:p>
            <w:pPr>
              <w:pStyle w:val="ListParagraph"/>
              <w:widowControl/>
              <w:suppressAutoHyphens w:val="true"/>
              <w:spacing w:lineRule="auto" w:line="240" w:before="0" w:after="0"/>
              <w:contextualSpacing/>
              <w:jc w:val="center"/>
              <w:rPr>
                <w:rFonts w:ascii="Arial" w:hAnsi="Arial" w:eastAsia="Aptos"/>
              </w:rPr>
            </w:pPr>
            <w:r>
              <w:rPr>
                <w:rFonts w:eastAsia="Aptos" w:cs="" w:ascii="Arial" w:hAnsi="Arial"/>
                <w:kern w:val="2"/>
                <w:sz w:val="22"/>
                <w:szCs w:val="22"/>
                <w:lang w:val="fr-FR" w:eastAsia="en-US" w:bidi="ar-SA"/>
              </w:rPr>
              <w:t>/</w:t>
            </w:r>
          </w:p>
        </w:tc>
      </w:tr>
      <w:tr>
        <w:trPr/>
        <w:tc>
          <w:tcPr>
            <w:tcW w:w="1755" w:type="dxa"/>
            <w:tcBorders/>
            <w:shd w:color="auto" w:fill="CCCCCC" w:val="clear"/>
            <w:vAlign w:val="center"/>
          </w:tcPr>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t>Inconvénients</w:t>
            </w:r>
          </w:p>
        </w:tc>
        <w:tc>
          <w:tcPr>
            <w:tcW w:w="2835" w:type="dxa"/>
            <w:tcBorders/>
            <w:vAlign w:val="center"/>
          </w:tcPr>
          <w:p>
            <w:pPr>
              <w:pStyle w:val="ListParagraph"/>
              <w:widowControl/>
              <w:suppressAutoHyphens w:val="true"/>
              <w:spacing w:lineRule="auto" w:line="240" w:before="0" w:after="0"/>
              <w:contextualSpacing/>
              <w:jc w:val="left"/>
              <w:rPr>
                <w:rFonts w:ascii="Arial" w:hAnsi="Arial" w:eastAsia="Aptos"/>
              </w:rPr>
            </w:pPr>
            <w:r>
              <w:rPr>
                <w:rFonts w:eastAsia="Aptos" w:cs="" w:ascii="Arial" w:hAnsi="Arial"/>
                <w:kern w:val="2"/>
                <w:sz w:val="22"/>
                <w:szCs w:val="22"/>
                <w:lang w:val="fr-FR" w:eastAsia="en-US" w:bidi="ar-SA"/>
              </w:rPr>
            </w:r>
          </w:p>
          <w:p>
            <w:pPr>
              <w:pStyle w:val="ListParagraph"/>
              <w:widowControl/>
              <w:suppressAutoHyphens w:val="true"/>
              <w:spacing w:lineRule="auto" w:line="240" w:before="0" w:after="0"/>
              <w:contextualSpacing/>
              <w:jc w:val="left"/>
              <w:rPr>
                <w:rFonts w:ascii="Arial" w:hAnsi="Arial" w:eastAsia="Aptos"/>
              </w:rPr>
            </w:pPr>
            <w:r>
              <w:rPr>
                <w:rFonts w:eastAsia="Aptos" w:cs="" w:ascii="Arial" w:hAnsi="Arial"/>
                <w:kern w:val="2"/>
                <w:sz w:val="22"/>
                <w:szCs w:val="22"/>
                <w:lang w:val="fr-FR" w:eastAsia="en-US" w:bidi="ar-SA"/>
              </w:rPr>
              <w:t>- Limite linguistique</w:t>
            </w:r>
          </w:p>
          <w:p>
            <w:pPr>
              <w:pStyle w:val="ListParagraph"/>
              <w:widowControl/>
              <w:suppressAutoHyphens w:val="true"/>
              <w:spacing w:lineRule="auto" w:line="240" w:before="0" w:after="0"/>
              <w:contextualSpacing/>
              <w:jc w:val="left"/>
              <w:rPr>
                <w:rFonts w:ascii="Arial" w:hAnsi="Arial" w:eastAsia="Aptos"/>
              </w:rPr>
            </w:pPr>
            <w:r>
              <w:rPr>
                <w:rFonts w:eastAsia="Aptos" w:cs="" w:ascii="Arial" w:hAnsi="Arial"/>
                <w:kern w:val="2"/>
                <w:sz w:val="22"/>
                <w:szCs w:val="22"/>
                <w:lang w:val="fr-FR" w:eastAsia="en-US" w:bidi="ar-SA"/>
              </w:rPr>
              <w:t>- Durée (52 questions)</w:t>
            </w:r>
          </w:p>
          <w:p>
            <w:pPr>
              <w:pStyle w:val="ListParagraph"/>
              <w:widowControl/>
              <w:suppressAutoHyphens w:val="true"/>
              <w:spacing w:lineRule="auto" w:line="240" w:before="0" w:after="0"/>
              <w:contextualSpacing/>
              <w:jc w:val="left"/>
              <w:rPr>
                <w:rFonts w:ascii="Arial" w:hAnsi="Arial" w:eastAsia="Aptos"/>
              </w:rPr>
            </w:pPr>
            <w:r>
              <w:rPr>
                <w:rFonts w:eastAsia="Aptos" w:cs="" w:ascii="Arial" w:hAnsi="Arial"/>
                <w:kern w:val="2"/>
                <w:sz w:val="22"/>
                <w:szCs w:val="22"/>
                <w:lang w:val="fr-FR" w:eastAsia="en-US" w:bidi="ar-SA"/>
              </w:rPr>
            </w:r>
          </w:p>
        </w:tc>
        <w:tc>
          <w:tcPr>
            <w:tcW w:w="2835" w:type="dxa"/>
            <w:tcBorders>
              <w:top w:val="nil"/>
              <w:left w:val="single" w:sz="12" w:space="0" w:color="5983B0"/>
              <w:bottom w:val="single" w:sz="12" w:space="0" w:color="5983B0"/>
              <w:right w:val="single" w:sz="12" w:space="0" w:color="5983B0"/>
            </w:tcBorders>
            <w:shd w:color="auto" w:fill="DEE6EF" w:val="clear"/>
            <w:vAlign w:val="center"/>
          </w:tcPr>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t xml:space="preserve">- Spécificité aux croyances métacognitives </w:t>
            </w:r>
            <w:r>
              <w:rPr>
                <w:rFonts w:eastAsia="Aptos" w:cs="" w:ascii="Arial" w:hAnsi="Arial"/>
                <w:color w:val="FF0000"/>
                <w:kern w:val="2"/>
                <w:sz w:val="22"/>
                <w:szCs w:val="22"/>
                <w:lang w:val="fr-FR" w:eastAsia="en-US" w:bidi="ar-SA"/>
              </w:rPr>
              <w:t>(mais lien avec l’influence par les croyances)</w:t>
            </w:r>
          </w:p>
        </w:tc>
        <w:tc>
          <w:tcPr>
            <w:tcW w:w="2834" w:type="dxa"/>
            <w:tcBorders/>
            <w:vAlign w:val="center"/>
          </w:tcPr>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t>- Limite linguistique</w:t>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t>- Spécificité au contrôle méta- cognitif</w:t>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t>- Documentation limitée</w:t>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r>
          </w:p>
        </w:tc>
      </w:tr>
    </w:tbl>
    <w:p>
      <w:pPr>
        <w:pStyle w:val="Normal"/>
        <w:rPr/>
      </w:pPr>
      <w:r>
        <w:rPr/>
      </w:r>
    </w:p>
    <w:p>
      <w:pPr>
        <w:pStyle w:val="Corpsdetexte"/>
        <w:ind w:firstLine="708"/>
        <w:rPr/>
      </w:pPr>
      <w:r>
        <w:rPr/>
        <w:t>Le questionnaire « Short French Metacognition questionnaire » semble être le plus adapté à notre projet. En effet le « Metacognitive Awarness Inventory » n’est disponible qu’en anglais sans version validée en français ce qui pose un grand problème dans son utilisation. Aussi le « Cognitive Control Inventory » est très peu documenté et est en cela moins fiable que le questionnaire choisi.</w:t>
      </w:r>
    </w:p>
    <w:p>
      <w:pPr>
        <w:pStyle w:val="Normal"/>
        <w:rPr/>
      </w:pPr>
      <w:r>
        <w:rPr/>
      </w:r>
    </w:p>
    <w:tbl>
      <w:tblPr>
        <w:tblStyle w:val="Grilledutableau"/>
        <w:tblW w:w="10260" w:type="dxa"/>
        <w:jc w:val="left"/>
        <w:tblInd w:w="-762" w:type="dxa"/>
        <w:tblLayout w:type="fixed"/>
        <w:tblCellMar>
          <w:top w:w="0" w:type="dxa"/>
          <w:left w:w="108" w:type="dxa"/>
          <w:bottom w:w="0" w:type="dxa"/>
          <w:right w:w="108" w:type="dxa"/>
        </w:tblCellMar>
        <w:tblLook w:firstRow="1" w:noVBand="1" w:lastRow="0" w:firstColumn="1" w:lastColumn="0" w:noHBand="0" w:val="04a0"/>
      </w:tblPr>
      <w:tblGrid>
        <w:gridCol w:w="1755"/>
        <w:gridCol w:w="2835"/>
        <w:gridCol w:w="2835"/>
        <w:gridCol w:w="2834"/>
      </w:tblGrid>
      <w:tr>
        <w:trPr/>
        <w:tc>
          <w:tcPr>
            <w:tcW w:w="1755" w:type="dxa"/>
            <w:tcBorders/>
            <w:shd w:color="auto" w:fill="999999" w:val="clear"/>
            <w:vAlign w:val="center"/>
          </w:tcPr>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r>
          </w:p>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t>Questionnaires psychologiques</w:t>
            </w:r>
          </w:p>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r>
          </w:p>
        </w:tc>
        <w:tc>
          <w:tcPr>
            <w:tcW w:w="2835" w:type="dxa"/>
            <w:tcBorders>
              <w:top w:val="single" w:sz="12" w:space="0" w:color="5983B0"/>
              <w:left w:val="single" w:sz="12" w:space="0" w:color="5983B0"/>
              <w:bottom w:val="single" w:sz="2" w:space="0" w:color="000000"/>
              <w:right w:val="single" w:sz="12" w:space="0" w:color="5983B0"/>
            </w:tcBorders>
            <w:shd w:color="auto" w:fill="DDDDDD" w:val="clear"/>
            <w:vAlign w:val="center"/>
          </w:tcPr>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t>Big five Inventory (BFI)</w:t>
            </w:r>
          </w:p>
        </w:tc>
        <w:tc>
          <w:tcPr>
            <w:tcW w:w="2835" w:type="dxa"/>
            <w:tcBorders/>
            <w:shd w:color="auto" w:fill="DDDDDD" w:val="clear"/>
            <w:vAlign w:val="center"/>
          </w:tcPr>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t>Échelle d’Individualisme-Collectivisme (INDCOL)</w:t>
            </w:r>
          </w:p>
        </w:tc>
        <w:tc>
          <w:tcPr>
            <w:tcW w:w="2834" w:type="dxa"/>
            <w:tcBorders/>
            <w:shd w:color="auto" w:fill="DDDDDD" w:val="clear"/>
            <w:vAlign w:val="center"/>
          </w:tcPr>
          <w:p>
            <w:pPr>
              <w:pStyle w:val="Normal"/>
              <w:widowControl/>
              <w:suppressAutoHyphens w:val="true"/>
              <w:spacing w:lineRule="auto" w:line="240" w:before="0" w:after="0"/>
              <w:jc w:val="center"/>
              <w:rPr>
                <w:rFonts w:ascii="Arial" w:hAnsi="Arial" w:eastAsia="Aptos"/>
                <w:lang w:val="en-US"/>
              </w:rPr>
            </w:pPr>
            <w:r>
              <w:rPr>
                <w:rFonts w:eastAsia="Aptos" w:cs="" w:ascii="Arial" w:hAnsi="Arial"/>
                <w:kern w:val="2"/>
                <w:sz w:val="22"/>
                <w:szCs w:val="22"/>
                <w:lang w:val="en-US" w:eastAsia="en-US" w:bidi="ar-SA"/>
              </w:rPr>
              <w:t>General Decision-Making Style (GDMS)</w:t>
            </w:r>
          </w:p>
        </w:tc>
      </w:tr>
      <w:tr>
        <w:trPr/>
        <w:tc>
          <w:tcPr>
            <w:tcW w:w="1755" w:type="dxa"/>
            <w:tcBorders/>
            <w:shd w:color="auto" w:fill="CCCCCC" w:val="clear"/>
            <w:vAlign w:val="center"/>
          </w:tcPr>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t>Avantages</w:t>
            </w:r>
          </w:p>
        </w:tc>
        <w:tc>
          <w:tcPr>
            <w:tcW w:w="2835" w:type="dxa"/>
            <w:tcBorders>
              <w:top w:val="nil"/>
              <w:left w:val="single" w:sz="12" w:space="0" w:color="5983B0"/>
              <w:bottom w:val="single" w:sz="2" w:space="0" w:color="000000"/>
              <w:right w:val="single" w:sz="12" w:space="0" w:color="5983B0"/>
            </w:tcBorders>
            <w:shd w:color="auto" w:fill="DEE6EF" w:val="clear"/>
            <w:vAlign w:val="center"/>
          </w:tcPr>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t>- Disponibilité d’une version française validée</w:t>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t>- Documentation large</w:t>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r>
          </w:p>
        </w:tc>
        <w:tc>
          <w:tcPr>
            <w:tcW w:w="2835" w:type="dxa"/>
            <w:tcBorders/>
            <w:vAlign w:val="center"/>
          </w:tcPr>
          <w:p>
            <w:pPr>
              <w:pStyle w:val="ListParagraph"/>
              <w:widowControl/>
              <w:suppressAutoHyphens w:val="true"/>
              <w:spacing w:lineRule="auto" w:line="240" w:before="0" w:after="0"/>
              <w:ind w:hanging="0"/>
              <w:contextualSpacing/>
              <w:jc w:val="left"/>
              <w:rPr>
                <w:rFonts w:ascii="Arial" w:hAnsi="Arial" w:eastAsia="Aptos"/>
              </w:rPr>
            </w:pPr>
            <w:r>
              <w:rPr>
                <w:rFonts w:eastAsia="Aptos" w:cs="" w:ascii="Arial" w:hAnsi="Arial"/>
                <w:kern w:val="2"/>
                <w:sz w:val="22"/>
                <w:szCs w:val="22"/>
                <w:lang w:val="fr-FR" w:eastAsia="en-US" w:bidi="ar-SA"/>
              </w:rPr>
              <w:t>- Spécificité de la mesure sociale</w:t>
            </w:r>
          </w:p>
        </w:tc>
        <w:tc>
          <w:tcPr>
            <w:tcW w:w="2834" w:type="dxa"/>
            <w:tcBorders/>
            <w:vAlign w:val="center"/>
          </w:tcPr>
          <w:p>
            <w:pPr>
              <w:pStyle w:val="ListParagraph"/>
              <w:widowControl/>
              <w:suppressAutoHyphens w:val="true"/>
              <w:spacing w:lineRule="auto" w:line="240" w:before="0" w:after="0"/>
              <w:ind w:hanging="0"/>
              <w:contextualSpacing/>
              <w:jc w:val="left"/>
              <w:rPr>
                <w:rFonts w:ascii="Arial" w:hAnsi="Arial" w:eastAsia="Aptos"/>
              </w:rPr>
            </w:pPr>
            <w:r>
              <w:rPr>
                <w:rFonts w:eastAsia="Aptos" w:cs="" w:ascii="Arial" w:hAnsi="Arial"/>
                <w:kern w:val="2"/>
                <w:sz w:val="22"/>
                <w:szCs w:val="22"/>
                <w:lang w:val="fr-FR" w:eastAsia="en-US" w:bidi="ar-SA"/>
              </w:rPr>
              <w:t>- Spécificité de la mesure sur la prise de décision</w:t>
            </w:r>
          </w:p>
        </w:tc>
      </w:tr>
      <w:tr>
        <w:trPr/>
        <w:tc>
          <w:tcPr>
            <w:tcW w:w="1755" w:type="dxa"/>
            <w:tcBorders/>
            <w:shd w:color="auto" w:fill="CCCCCC" w:val="clear"/>
            <w:vAlign w:val="center"/>
          </w:tcPr>
          <w:p>
            <w:pPr>
              <w:pStyle w:val="Normal"/>
              <w:widowControl/>
              <w:suppressAutoHyphens w:val="true"/>
              <w:spacing w:lineRule="auto" w:line="240" w:before="0" w:after="0"/>
              <w:jc w:val="center"/>
              <w:rPr>
                <w:rFonts w:ascii="Arial" w:hAnsi="Arial" w:eastAsia="Aptos"/>
              </w:rPr>
            </w:pPr>
            <w:r>
              <w:rPr>
                <w:rFonts w:eastAsia="Aptos" w:cs="" w:ascii="Arial" w:hAnsi="Arial"/>
                <w:kern w:val="2"/>
                <w:sz w:val="22"/>
                <w:szCs w:val="22"/>
                <w:lang w:val="fr-FR" w:eastAsia="en-US" w:bidi="ar-SA"/>
              </w:rPr>
              <w:t>Inconvénients</w:t>
            </w:r>
          </w:p>
        </w:tc>
        <w:tc>
          <w:tcPr>
            <w:tcW w:w="2835" w:type="dxa"/>
            <w:tcBorders>
              <w:top w:val="nil"/>
              <w:left w:val="single" w:sz="12" w:space="0" w:color="5983B0"/>
              <w:bottom w:val="single" w:sz="12" w:space="0" w:color="5983B0"/>
              <w:right w:val="single" w:sz="12" w:space="0" w:color="5983B0"/>
            </w:tcBorders>
            <w:shd w:color="auto" w:fill="DEE6EF" w:val="clear"/>
            <w:vAlign w:val="center"/>
          </w:tcPr>
          <w:p>
            <w:pPr>
              <w:pStyle w:val="ListParagraph"/>
              <w:widowControl/>
              <w:suppressAutoHyphens w:val="true"/>
              <w:spacing w:lineRule="auto" w:line="240" w:before="0" w:after="0"/>
              <w:contextualSpacing/>
              <w:jc w:val="left"/>
              <w:rPr>
                <w:rFonts w:ascii="Arial" w:hAnsi="Arial" w:eastAsia="Aptos"/>
              </w:rPr>
            </w:pPr>
            <w:r>
              <w:rPr>
                <w:rFonts w:eastAsia="Aptos" w:cs="" w:ascii="Arial" w:hAnsi="Arial"/>
                <w:kern w:val="2"/>
                <w:sz w:val="22"/>
                <w:szCs w:val="22"/>
                <w:lang w:val="fr-FR" w:eastAsia="en-US" w:bidi="ar-SA"/>
              </w:rPr>
            </w:r>
          </w:p>
          <w:p>
            <w:pPr>
              <w:pStyle w:val="ListParagraph"/>
              <w:widowControl/>
              <w:suppressAutoHyphens w:val="true"/>
              <w:spacing w:lineRule="auto" w:line="240" w:before="0" w:after="0"/>
              <w:contextualSpacing/>
              <w:jc w:val="left"/>
              <w:rPr>
                <w:rFonts w:ascii="Arial" w:hAnsi="Arial" w:eastAsia="Aptos"/>
              </w:rPr>
            </w:pPr>
            <w:r>
              <w:rPr>
                <w:rFonts w:eastAsia="Aptos" w:cs="" w:ascii="Arial" w:hAnsi="Arial"/>
                <w:kern w:val="2"/>
                <w:sz w:val="22"/>
                <w:szCs w:val="22"/>
                <w:lang w:val="fr-FR" w:eastAsia="en-US" w:bidi="ar-SA"/>
              </w:rPr>
              <w:t>- Durée (45 questions)</w:t>
            </w:r>
          </w:p>
          <w:p>
            <w:pPr>
              <w:pStyle w:val="ListParagraph"/>
              <w:widowControl/>
              <w:suppressAutoHyphens w:val="true"/>
              <w:spacing w:lineRule="auto" w:line="240" w:before="0" w:after="0"/>
              <w:contextualSpacing/>
              <w:jc w:val="left"/>
              <w:rPr>
                <w:rFonts w:ascii="Arial" w:hAnsi="Arial" w:eastAsia="Aptos"/>
              </w:rPr>
            </w:pPr>
            <w:r>
              <w:rPr>
                <w:rFonts w:eastAsia="Aptos" w:cs="" w:ascii="Arial" w:hAnsi="Arial"/>
                <w:kern w:val="2"/>
                <w:sz w:val="22"/>
                <w:szCs w:val="22"/>
                <w:lang w:val="fr-FR" w:eastAsia="en-US" w:bidi="ar-SA"/>
              </w:rPr>
              <w:t>- Nuance de la classification</w:t>
            </w:r>
          </w:p>
          <w:p>
            <w:pPr>
              <w:pStyle w:val="ListParagraph"/>
              <w:widowControl/>
              <w:suppressAutoHyphens w:val="true"/>
              <w:spacing w:lineRule="auto" w:line="240" w:before="0" w:after="0"/>
              <w:contextualSpacing/>
              <w:jc w:val="left"/>
              <w:rPr>
                <w:rFonts w:ascii="Arial" w:hAnsi="Arial" w:eastAsia="Aptos"/>
              </w:rPr>
            </w:pPr>
            <w:r>
              <w:rPr>
                <w:rFonts w:eastAsia="Aptos" w:cs="" w:ascii="Arial" w:hAnsi="Arial"/>
                <w:kern w:val="2"/>
                <w:sz w:val="22"/>
                <w:szCs w:val="22"/>
                <w:lang w:val="fr-FR" w:eastAsia="en-US" w:bidi="ar-SA"/>
              </w:rPr>
            </w:r>
          </w:p>
        </w:tc>
        <w:tc>
          <w:tcPr>
            <w:tcW w:w="2835" w:type="dxa"/>
            <w:tcBorders/>
            <w:vAlign w:val="center"/>
          </w:tcPr>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t>- Pas de questionnaire associé</w:t>
            </w:r>
          </w:p>
        </w:tc>
        <w:tc>
          <w:tcPr>
            <w:tcW w:w="2834" w:type="dxa"/>
            <w:tcBorders/>
            <w:vAlign w:val="center"/>
          </w:tcPr>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t>- Limite linguistique</w:t>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t>- Pas de questionnaire associé</w:t>
            </w:r>
          </w:p>
          <w:p>
            <w:pPr>
              <w:pStyle w:val="Normal"/>
              <w:widowControl/>
              <w:suppressAutoHyphens w:val="true"/>
              <w:spacing w:lineRule="auto" w:line="240" w:before="0" w:after="0"/>
              <w:jc w:val="left"/>
              <w:rPr>
                <w:rFonts w:ascii="Arial" w:hAnsi="Arial" w:eastAsia="Aptos"/>
              </w:rPr>
            </w:pPr>
            <w:r>
              <w:rPr>
                <w:rFonts w:eastAsia="Aptos" w:cs="" w:ascii="Arial" w:hAnsi="Arial"/>
                <w:kern w:val="2"/>
                <w:sz w:val="22"/>
                <w:szCs w:val="22"/>
                <w:lang w:val="fr-FR" w:eastAsia="en-US" w:bidi="ar-SA"/>
              </w:rPr>
            </w:r>
          </w:p>
        </w:tc>
      </w:tr>
    </w:tbl>
    <w:p>
      <w:pPr>
        <w:pStyle w:val="Normal"/>
        <w:rPr/>
      </w:pPr>
      <w:r>
        <w:rPr/>
      </w:r>
    </w:p>
    <w:p>
      <w:pPr>
        <w:pStyle w:val="Normal"/>
        <w:rPr/>
      </w:pPr>
      <w:r>
        <w:fldChar w:fldCharType="begin"/>
      </w:r>
      <w:r>
        <w:rPr>
          <w:rStyle w:val="LienInternet"/>
        </w:rPr>
        <w:instrText> HYPERLINK "https://psychologie-ge.ch/Test_Personnalite_bfi.html" \l ":~:text=Questionnaire d'auto-évaluation de la personnalité. Big Five Inventory"</w:instrText>
      </w:r>
      <w:r>
        <w:rPr>
          <w:rStyle w:val="LienInternet"/>
        </w:rPr>
        <w:fldChar w:fldCharType="separate"/>
      </w:r>
      <w:r>
        <w:rPr>
          <w:rStyle w:val="LienInternet"/>
        </w:rPr>
        <w:t>Psychologie Genève : Questionnaire d'auto-évaluation de la Personnalité (psychologie-ge.ch)</w:t>
      </w:r>
      <w:r>
        <w:rPr>
          <w:rStyle w:val="LienInternet"/>
        </w:rPr>
        <w:fldChar w:fldCharType="end"/>
      </w:r>
      <w:r>
        <w:rPr/>
        <w:t xml:space="preserve"> </w:t>
      </w:r>
    </w:p>
    <w:p>
      <w:pPr>
        <w:pStyle w:val="Normal"/>
        <w:rPr>
          <w:color w:val="FF0000"/>
        </w:rPr>
      </w:pPr>
      <w:r>
        <w:rPr>
          <w:color w:val="FF0000"/>
        </w:rPr>
      </w:r>
    </w:p>
    <w:p>
      <w:pPr>
        <w:pStyle w:val="Corpsdetexte"/>
        <w:rPr/>
      </w:pPr>
      <w:r>
        <w:rPr/>
        <w:t xml:space="preserve">→ </w:t>
      </w:r>
      <w:r>
        <w:rPr/>
        <w:t>Les trois présentent un intérêt, à voir si des questionnaires en français sont disponibles pour l’</w:t>
      </w:r>
      <w:r>
        <w:rPr>
          <w:rFonts w:eastAsia="Aptos"/>
        </w:rPr>
        <w:t>INDCOL et le GDMS.</w:t>
      </w:r>
    </w:p>
    <w:p>
      <w:pPr>
        <w:pStyle w:val="Normal"/>
        <w:rPr>
          <w:sz w:val="24"/>
          <w:szCs w:val="24"/>
        </w:rPr>
      </w:pPr>
      <w:r>
        <w:rPr>
          <w:sz w:val="24"/>
          <w:szCs w:val="24"/>
        </w:rPr>
      </w:r>
    </w:p>
    <w:p>
      <w:pPr>
        <w:pStyle w:val="Titre2"/>
        <w:numPr>
          <w:ilvl w:val="0"/>
          <w:numId w:val="4"/>
        </w:numPr>
        <w:rPr>
          <w:sz w:val="28"/>
          <w:szCs w:val="28"/>
        </w:rPr>
      </w:pPr>
      <w:r>
        <w:rPr>
          <w:sz w:val="28"/>
          <w:szCs w:val="28"/>
        </w:rPr>
        <w:t>Grille d’observation</w:t>
      </w:r>
    </w:p>
    <w:p>
      <w:pPr>
        <w:pStyle w:val="Normal"/>
        <w:rPr/>
      </w:pPr>
      <w:r>
        <w:rPr/>
      </w:r>
    </w:p>
    <w:p>
      <w:pPr>
        <w:pStyle w:val="Normal"/>
        <w:ind w:firstLine="360"/>
        <w:rPr>
          <w:color w:val="FF0000"/>
          <w:sz w:val="24"/>
          <w:szCs w:val="24"/>
        </w:rPr>
      </w:pPr>
      <w:r>
        <w:rPr>
          <w:color w:val="FF0000"/>
          <w:sz w:val="24"/>
          <w:szCs w:val="24"/>
        </w:rPr>
        <w:t>Pour le détail de la grille d’observation, voir la grille d’observation déposée dans le dossier « GRILLE D’OBSERVATION » du git.</w:t>
      </w:r>
    </w:p>
    <w:p>
      <w:pPr>
        <w:pStyle w:val="Normal"/>
        <w:rPr>
          <w:color w:val="FF0000"/>
          <w:sz w:val="24"/>
          <w:szCs w:val="24"/>
        </w:rPr>
      </w:pPr>
      <w:r>
        <w:rPr>
          <w:color w:val="FF0000"/>
          <w:sz w:val="24"/>
          <w:szCs w:val="24"/>
        </w:rPr>
        <w:tab/>
        <w:t xml:space="preserve">Elle se repose sur tout d’abord 3 parties d’études du joueur qualitatives : </w:t>
      </w:r>
    </w:p>
    <w:p>
      <w:pPr>
        <w:pStyle w:val="Normal"/>
        <w:rPr>
          <w:b/>
          <w:b/>
          <w:bCs/>
          <w:i/>
          <w:i/>
          <w:iCs/>
          <w:color w:val="FF0000"/>
          <w:sz w:val="24"/>
          <w:szCs w:val="24"/>
        </w:rPr>
      </w:pPr>
      <w:r>
        <w:rPr>
          <w:b/>
          <w:bCs/>
          <w:i/>
          <w:iCs/>
          <w:color w:val="FF0000"/>
          <w:sz w:val="24"/>
          <w:szCs w:val="24"/>
        </w:rPr>
        <w:t>1/ Expression verbale / Communication verbale (Cognitive dimension)</w:t>
      </w:r>
    </w:p>
    <w:p>
      <w:pPr>
        <w:pStyle w:val="Normal"/>
        <w:rPr>
          <w:b/>
          <w:b/>
          <w:bCs/>
          <w:i/>
          <w:i/>
          <w:iCs/>
          <w:color w:val="FF0000"/>
          <w:sz w:val="24"/>
          <w:szCs w:val="24"/>
        </w:rPr>
      </w:pPr>
      <w:r>
        <w:rPr>
          <w:b/>
          <w:bCs/>
          <w:i/>
          <w:iCs/>
          <w:color w:val="FF0000"/>
          <w:sz w:val="24"/>
          <w:szCs w:val="24"/>
        </w:rPr>
        <w:t>2/ Dynamique et de l’affectivité groupale (Attitude dimension)</w:t>
      </w:r>
    </w:p>
    <w:p>
      <w:pPr>
        <w:pStyle w:val="Normal"/>
        <w:rPr>
          <w:b/>
          <w:b/>
          <w:bCs/>
          <w:i/>
          <w:i/>
          <w:iCs/>
          <w:color w:val="FF0000"/>
          <w:sz w:val="24"/>
          <w:szCs w:val="24"/>
        </w:rPr>
      </w:pPr>
      <w:r>
        <w:rPr>
          <w:b/>
          <w:bCs/>
          <w:i/>
          <w:iCs/>
          <w:color w:val="FF0000"/>
          <w:sz w:val="24"/>
          <w:szCs w:val="24"/>
        </w:rPr>
        <w:t>3/ Dimensions corporelles et comportementales (Behavior dimension)</w:t>
      </w:r>
    </w:p>
    <w:p>
      <w:pPr>
        <w:pStyle w:val="Normal"/>
        <w:rPr>
          <w:color w:val="FF0000"/>
          <w:sz w:val="24"/>
          <w:szCs w:val="24"/>
        </w:rPr>
      </w:pPr>
      <w:r>
        <w:rPr>
          <w:color w:val="FF0000"/>
          <w:sz w:val="24"/>
          <w:szCs w:val="24"/>
        </w:rPr>
      </w:r>
    </w:p>
    <w:p>
      <w:pPr>
        <w:pStyle w:val="Normal"/>
        <w:ind w:firstLine="708"/>
        <w:rPr>
          <w:b/>
          <w:b/>
          <w:bCs/>
          <w:i/>
          <w:i/>
          <w:iCs/>
          <w:color w:val="FF0000"/>
          <w:sz w:val="24"/>
          <w:szCs w:val="24"/>
        </w:rPr>
      </w:pPr>
      <w:r>
        <w:rPr>
          <w:color w:val="FF0000"/>
          <w:sz w:val="24"/>
          <w:szCs w:val="24"/>
        </w:rPr>
        <w:t>Ainsi que des données quantitatives issues du jeu, du joueur et des prises de décision.</w:t>
      </w:r>
    </w:p>
    <w:p>
      <w:pPr>
        <w:pStyle w:val="Normal"/>
        <w:ind w:firstLine="708"/>
        <w:rPr>
          <w:b/>
          <w:b/>
          <w:bCs/>
          <w:i/>
          <w:i/>
          <w:iCs/>
          <w:color w:val="FF0000"/>
          <w:sz w:val="24"/>
          <w:szCs w:val="24"/>
        </w:rPr>
      </w:pPr>
      <w:r>
        <w:rPr>
          <w:b/>
          <w:bCs/>
          <w:i/>
          <w:iCs/>
          <w:color w:val="FF0000"/>
          <w:sz w:val="24"/>
          <w:szCs w:val="24"/>
        </w:rPr>
      </w:r>
    </w:p>
    <w:p>
      <w:pPr>
        <w:pStyle w:val="Titre2"/>
        <w:numPr>
          <w:ilvl w:val="0"/>
          <w:numId w:val="4"/>
        </w:numPr>
        <w:rPr>
          <w:sz w:val="28"/>
          <w:szCs w:val="28"/>
        </w:rPr>
      </w:pPr>
      <w:r>
        <w:rPr>
          <w:sz w:val="28"/>
          <w:szCs w:val="28"/>
        </w:rPr>
        <w:t>Entretien d’auto-confrontation</w:t>
      </w:r>
    </w:p>
    <w:p>
      <w:pPr>
        <w:pStyle w:val="Corpsdetexte"/>
        <w:rPr/>
      </w:pPr>
      <w:r>
        <w:rPr/>
      </w:r>
    </w:p>
    <w:p>
      <w:pPr>
        <w:pStyle w:val="Corpsdetexte"/>
        <w:ind w:firstLine="360"/>
        <w:rPr/>
      </w:pPr>
      <w:r>
        <w:rPr/>
        <w:t>Le but de l’entretien d’auto-confrontation est de valider avec le joueur l’identification de ses intentions et stratégies. Ils doivent permettre de mettre en lumière des changements de stratégies naturels et leurs causes, ainsi que les motivations du joueur dans le choix de sa stratégie initiale.</w:t>
      </w:r>
    </w:p>
    <w:p>
      <w:pPr>
        <w:pStyle w:val="Corpsdetexte"/>
        <w:ind w:firstLine="360"/>
        <w:rPr>
          <w:color w:val="FF0000"/>
        </w:rPr>
      </w:pPr>
      <w:r>
        <w:rPr>
          <w:color w:val="FF0000"/>
        </w:rPr>
        <w:t xml:space="preserve">Il s’agit d’une méthode utilisée en psychologie du travail, en ergonomie et dans d’autres disciplines pour analyser les pratiques professionnelles et comprendre les processus cognitifs à l’œuvre lors d’une tâche. Le but principal est d’amener un individu à </w:t>
      </w:r>
      <w:r>
        <w:rPr>
          <w:b/>
          <w:bCs/>
          <w:color w:val="FF0000"/>
        </w:rPr>
        <w:t>refléter et verbaliser</w:t>
      </w:r>
      <w:r>
        <w:rPr>
          <w:color w:val="FF0000"/>
        </w:rPr>
        <w:t xml:space="preserve"> ses actions, pensées et décisions pendant ou après l’exécution d’une activité, en lui présentant des stimuli, tels que des enregistrements vidéo ou audio de ses actions.</w:t>
      </w:r>
    </w:p>
    <w:p>
      <w:pPr>
        <w:pStyle w:val="Corpsdetexte"/>
        <w:ind w:firstLine="360"/>
        <w:rPr>
          <w:color w:val="FF0000"/>
        </w:rPr>
      </w:pPr>
      <w:r>
        <w:rPr>
          <w:color w:val="FF0000"/>
        </w:rPr>
        <w:t xml:space="preserve">Il permet de mettre en œuvre ces 4 objectifs : </w:t>
      </w:r>
    </w:p>
    <w:p>
      <w:pPr>
        <w:pStyle w:val="Corpsdetexte"/>
        <w:numPr>
          <w:ilvl w:val="0"/>
          <w:numId w:val="9"/>
        </w:numPr>
        <w:rPr>
          <w:rFonts w:ascii="System Font" w:hAnsi="System Font" w:cs="System Font"/>
          <w:color w:val="FF0000"/>
          <w:kern w:val="0"/>
          <w:sz w:val="28"/>
          <w:szCs w:val="28"/>
        </w:rPr>
      </w:pPr>
      <w:r>
        <w:rPr>
          <w:b/>
          <w:bCs/>
          <w:i/>
          <w:iCs/>
          <w:color w:val="FF0000"/>
        </w:rPr>
        <w:t>Prendre conscience des actions et décisions</w:t>
      </w:r>
      <w:r>
        <w:rPr>
          <w:i/>
          <w:iCs/>
          <w:color w:val="FF0000"/>
        </w:rPr>
        <w:t xml:space="preserve"> :</w:t>
      </w:r>
      <w:r>
        <w:rPr>
          <w:color w:val="FF0000"/>
        </w:rPr>
        <w:t xml:space="preserve"> Le sujet d’étude est confronté à ses propres pratiques afin de prendre du recul sur ses actions. Cela permet de révéler des aspects tacites ou automatiques de son comportement.</w:t>
      </w:r>
    </w:p>
    <w:p>
      <w:pPr>
        <w:pStyle w:val="Corpsdetexte"/>
        <w:numPr>
          <w:ilvl w:val="0"/>
          <w:numId w:val="9"/>
        </w:numPr>
        <w:rPr>
          <w:rFonts w:ascii="System Font" w:hAnsi="System Font" w:cs="System Font"/>
          <w:color w:val="FF0000"/>
          <w:kern w:val="0"/>
          <w:sz w:val="28"/>
          <w:szCs w:val="28"/>
        </w:rPr>
      </w:pPr>
      <w:r>
        <w:rPr>
          <w:b/>
          <w:bCs/>
          <w:i/>
          <w:iCs/>
          <w:color w:val="FF0000"/>
        </w:rPr>
        <w:t>Accéder aux processus cognitifs et émotionnels</w:t>
      </w:r>
      <w:r>
        <w:rPr>
          <w:i/>
          <w:iCs/>
          <w:color w:val="FF0000"/>
        </w:rPr>
        <w:t xml:space="preserve"> :</w:t>
      </w:r>
      <w:r>
        <w:rPr>
          <w:color w:val="FF0000"/>
        </w:rPr>
        <w:t xml:space="preserve"> En verbalisant ce qu’il pensait ou ressentait au moment où il effectuait une tâche, le sujet d’étude expose ses stratégies mentales, ses prises de décisions, et ses émotions qui n’étaient peut-être pas évidentes à première vue.</w:t>
      </w:r>
    </w:p>
    <w:p>
      <w:pPr>
        <w:pStyle w:val="Corpsdetexte"/>
        <w:numPr>
          <w:ilvl w:val="0"/>
          <w:numId w:val="9"/>
        </w:numPr>
        <w:rPr>
          <w:rFonts w:ascii="System Font" w:hAnsi="System Font" w:cs="System Font"/>
          <w:color w:val="FF0000"/>
          <w:kern w:val="0"/>
          <w:sz w:val="28"/>
          <w:szCs w:val="28"/>
        </w:rPr>
      </w:pPr>
      <w:r>
        <w:rPr>
          <w:b/>
          <w:bCs/>
          <w:color w:val="FF0000"/>
        </w:rPr>
        <w:t>Favoriser l’amélioration ou l’ajustement des pratiques</w:t>
      </w:r>
      <w:r>
        <w:rPr>
          <w:color w:val="FF0000"/>
        </w:rPr>
        <w:t xml:space="preserve"> : En observant ses propres actions avec un regard extérieur, le sujet d’étude peut identifier des erreurs, des comportements inefficaces ou des alternatives qui auraient pu être plus appropriées.</w:t>
      </w:r>
    </w:p>
    <w:p>
      <w:pPr>
        <w:pStyle w:val="Corpsdetexte"/>
        <w:numPr>
          <w:ilvl w:val="0"/>
          <w:numId w:val="9"/>
        </w:numPr>
        <w:rPr>
          <w:rFonts w:ascii="System Font" w:hAnsi="System Font" w:cs="System Font"/>
          <w:color w:val="FF0000"/>
          <w:kern w:val="0"/>
          <w:sz w:val="28"/>
          <w:szCs w:val="28"/>
        </w:rPr>
      </w:pPr>
      <w:r>
        <w:rPr>
          <w:b/>
          <w:bCs/>
          <w:color w:val="FF0000"/>
        </w:rPr>
        <w:t>Comprendre la complexité de la tâche</w:t>
      </w:r>
      <w:r>
        <w:rPr>
          <w:color w:val="FF0000"/>
        </w:rPr>
        <w:t xml:space="preserve"> : L’entretien nous permet d’avoir une meilleure compréhension de la tâche en question, non seulement en observant le sujet d’étude, mais aussi en accédant à son raisonnement derrière chaque action.</w:t>
      </w:r>
    </w:p>
    <w:p>
      <w:pPr>
        <w:pStyle w:val="Corpsdetexte"/>
        <w:ind w:left="1080" w:hanging="0"/>
        <w:rPr>
          <w:rFonts w:ascii="System Font" w:hAnsi="System Font" w:cs="System Font"/>
          <w:color w:val="FF0000"/>
          <w:kern w:val="0"/>
          <w:sz w:val="28"/>
          <w:szCs w:val="28"/>
        </w:rPr>
      </w:pPr>
      <w:r>
        <w:rPr>
          <w:rFonts w:cs="System Font" w:ascii="System Font" w:hAnsi="System Font"/>
          <w:color w:val="FF0000"/>
          <w:kern w:val="0"/>
          <w:sz w:val="28"/>
          <w:szCs w:val="28"/>
        </w:rPr>
      </w:r>
    </w:p>
    <w:p>
      <w:pPr>
        <w:pStyle w:val="Corpsdetexte"/>
        <w:rPr/>
      </w:pPr>
      <w:r>
        <w:rPr/>
        <w:t>Questions type pour le ressenti global de la partie :</w:t>
      </w:r>
    </w:p>
    <w:p>
      <w:pPr>
        <w:pStyle w:val="Corpsdetexte"/>
        <w:rPr>
          <w:color w:val="FF0000"/>
        </w:rPr>
      </w:pPr>
      <w:r>
        <w:rPr>
          <w:color w:val="FF0000"/>
        </w:rPr>
      </w:r>
    </w:p>
    <w:p>
      <w:pPr>
        <w:pStyle w:val="Corpsdetexte"/>
        <w:numPr>
          <w:ilvl w:val="0"/>
          <w:numId w:val="7"/>
        </w:numPr>
        <w:rPr/>
      </w:pPr>
      <w:r>
        <w:rPr/>
        <w:t xml:space="preserve">À quel moment avez-vous senti que la partie prenait une tournure décisive ? </w:t>
      </w:r>
    </w:p>
    <w:p>
      <w:pPr>
        <w:pStyle w:val="Corpsdetexte"/>
        <w:numPr>
          <w:ilvl w:val="0"/>
          <w:numId w:val="7"/>
        </w:numPr>
        <w:rPr/>
      </w:pPr>
      <w:r>
        <w:rPr/>
        <w:t xml:space="preserve">Comment avez-vous perçu les interactions avec les autres joueurs ? Avez-vous ressenti une dynamique collective dans cette partie ou plutôt une compétition individualiste ? </w:t>
      </w:r>
    </w:p>
    <w:p>
      <w:pPr>
        <w:pStyle w:val="Corpsdetexte"/>
        <w:numPr>
          <w:ilvl w:val="0"/>
          <w:numId w:val="7"/>
        </w:numPr>
        <w:rPr/>
      </w:pPr>
      <w:r>
        <w:rPr/>
        <w:t>Avez-vous remarqué un changement dans votre comportement ou votre stratégie au cours de la partie ?</w:t>
      </w:r>
    </w:p>
    <w:p>
      <w:pPr>
        <w:pStyle w:val="Corpsdetexte"/>
        <w:numPr>
          <w:ilvl w:val="0"/>
          <w:numId w:val="7"/>
        </w:numPr>
        <w:rPr/>
      </w:pPr>
      <w:r>
        <w:rPr/>
        <w:t>Y a-t-il eu des moments où vous avez perdu de vues vos objectifs ? Si oui, pourquoi ?</w:t>
      </w:r>
    </w:p>
    <w:p>
      <w:pPr>
        <w:pStyle w:val="Corpsdetexte"/>
        <w:ind w:left="720" w:hanging="0"/>
        <w:rPr/>
      </w:pPr>
      <w:r>
        <w:rPr/>
      </w:r>
    </w:p>
    <w:p>
      <w:pPr>
        <w:pStyle w:val="Corpsdetexte"/>
        <w:rPr/>
      </w:pPr>
      <w:r>
        <w:rPr/>
      </w:r>
    </w:p>
    <w:p>
      <w:pPr>
        <w:pStyle w:val="Corpsdetexte"/>
        <w:rPr>
          <w:color w:val="FF0000"/>
        </w:rPr>
      </w:pPr>
      <w:r>
        <w:rPr/>
        <w:t>Questions type pour le visionnage de la vidéo :</w:t>
      </w:r>
    </w:p>
    <w:p>
      <w:pPr>
        <w:pStyle w:val="Corpsdetexte"/>
        <w:numPr>
          <w:ilvl w:val="0"/>
          <w:numId w:val="6"/>
        </w:numPr>
        <w:rPr/>
      </w:pPr>
      <w:r>
        <w:rPr/>
        <w:t>Quelles étaient tes intentions en prenant cette décision ? Cherchais-tu à atteindre un objectif précis ?</w:t>
      </w:r>
    </w:p>
    <w:p>
      <w:pPr>
        <w:pStyle w:val="Corpsdetexte"/>
        <w:numPr>
          <w:ilvl w:val="0"/>
          <w:numId w:val="6"/>
        </w:numPr>
        <w:rPr/>
      </w:pPr>
      <w:r>
        <w:rPr/>
        <w:t>Quel plan global suivais-tu à ce stade de la partie ?</w:t>
      </w:r>
    </w:p>
    <w:p>
      <w:pPr>
        <w:pStyle w:val="Corpsdetexte"/>
        <w:numPr>
          <w:ilvl w:val="0"/>
          <w:numId w:val="6"/>
        </w:numPr>
        <w:rPr/>
      </w:pPr>
      <w:r>
        <w:rPr/>
        <w:t xml:space="preserve">Y avait-il d'autres actions possibles que tu as envisagées avant de prendre cette décision ? Pourquoi ne les as-tu pas choisies ? </w:t>
      </w:r>
    </w:p>
    <w:p>
      <w:pPr>
        <w:pStyle w:val="Corpsdetexte"/>
        <w:numPr>
          <w:ilvl w:val="0"/>
          <w:numId w:val="6"/>
        </w:numPr>
        <w:rPr/>
      </w:pPr>
      <w:r>
        <w:rPr/>
        <w:t xml:space="preserve">Si tu avais pu revenir en arrière, aurais-tu fait la même chose ? Pourquoi ou pourquoi pas ? </w:t>
      </w:r>
    </w:p>
    <w:p>
      <w:pPr>
        <w:pStyle w:val="Corpsdetexte"/>
        <w:numPr>
          <w:ilvl w:val="0"/>
          <w:numId w:val="6"/>
        </w:numPr>
        <w:rPr/>
      </w:pPr>
      <w:r>
        <w:rPr/>
        <w:t xml:space="preserve">Comment évaluais-tu les actions des autres joueurs ? T'inquiétais-tu de leurs stratégies ? </w:t>
      </w:r>
      <w:r>
        <w:rPr>
          <w:color w:val="FF0000"/>
        </w:rPr>
        <w:t>Prenais-tu en compte leurs stratégies ?</w:t>
      </w:r>
    </w:p>
    <w:p>
      <w:pPr>
        <w:pStyle w:val="Corpsdetexte"/>
        <w:numPr>
          <w:ilvl w:val="0"/>
          <w:numId w:val="6"/>
        </w:numPr>
        <w:rPr/>
      </w:pPr>
      <w:r>
        <w:rPr/>
        <w:t xml:space="preserve">Est-ce que les choix des autres joueurs ont influencé ta propre stratégie ? Si oui, comment ? </w:t>
      </w:r>
    </w:p>
    <w:p>
      <w:pPr>
        <w:pStyle w:val="Normal"/>
        <w:rPr/>
      </w:pPr>
      <w:r>
        <w:rPr/>
      </w:r>
    </w:p>
    <w:p>
      <w:pPr>
        <w:pStyle w:val="Normal"/>
        <w:rPr/>
      </w:pPr>
      <w:r>
        <w:rPr/>
      </w:r>
    </w:p>
    <w:p>
      <w:pPr>
        <w:pStyle w:val="Normal"/>
        <w:spacing w:before="0" w:after="16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roman"/>
    <w:pitch w:val="variable"/>
  </w:font>
  <w:font w:name="System Font">
    <w:charset w:val="00"/>
    <w:family w:val="roman"/>
    <w:pitch w:val="variable"/>
  </w:font>
  <w:font w:name="Courier New">
    <w:charset w:val="01"/>
    <w:family w:val="modern"/>
    <w:pitch w:val="fixed"/>
  </w:font>
  <w:font w:name="Wingdings">
    <w:charset w:val="02"/>
    <w:family w:val="auto"/>
    <w:pitch w:val="variable"/>
  </w:font>
  <w:font w:name="Aptos">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4"/>
      <w:numFmt w:val="lowerLetter"/>
      <w:lvlText w:val="%3."/>
      <w:lvlJc w:val="left"/>
      <w:pPr>
        <w:tabs>
          <w:tab w:val="num" w:pos="0"/>
        </w:tabs>
        <w:ind w:left="2160" w:hanging="360"/>
      </w:p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4"/>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42fd"/>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Titre1">
    <w:name w:val="Heading 1"/>
    <w:basedOn w:val="Normal"/>
    <w:next w:val="Normal"/>
    <w:link w:val="Titre1Car"/>
    <w:uiPriority w:val="9"/>
    <w:qFormat/>
    <w:rsid w:val="00b53058"/>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itre2">
    <w:name w:val="Heading 2"/>
    <w:basedOn w:val="Normal"/>
    <w:next w:val="Normal"/>
    <w:link w:val="Titre2Car"/>
    <w:uiPriority w:val="9"/>
    <w:unhideWhenUsed/>
    <w:qFormat/>
    <w:rsid w:val="00b53058"/>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itre3">
    <w:name w:val="Heading 3"/>
    <w:basedOn w:val="Normal"/>
    <w:next w:val="Normal"/>
    <w:link w:val="Titre3Car"/>
    <w:uiPriority w:val="9"/>
    <w:semiHidden/>
    <w:unhideWhenUsed/>
    <w:qFormat/>
    <w:rsid w:val="00b53058"/>
    <w:pPr>
      <w:keepNext w:val="true"/>
      <w:keepLines/>
      <w:spacing w:before="160" w:after="80"/>
      <w:outlineLvl w:val="2"/>
    </w:pPr>
    <w:rPr>
      <w:rFonts w:eastAsia="" w:cs="" w:cstheme="majorBidi" w:eastAsiaTheme="majorEastAsia"/>
      <w:color w:val="0F4761" w:themeColor="accent1" w:themeShade="bf"/>
      <w:sz w:val="28"/>
      <w:szCs w:val="28"/>
    </w:rPr>
  </w:style>
  <w:style w:type="paragraph" w:styleId="Titre4">
    <w:name w:val="Heading 4"/>
    <w:basedOn w:val="Normal"/>
    <w:next w:val="Normal"/>
    <w:link w:val="Titre4Car"/>
    <w:uiPriority w:val="9"/>
    <w:semiHidden/>
    <w:unhideWhenUsed/>
    <w:qFormat/>
    <w:rsid w:val="00b53058"/>
    <w:pPr>
      <w:keepNext w:val="true"/>
      <w:keepLines/>
      <w:spacing w:before="80" w:after="40"/>
      <w:outlineLvl w:val="3"/>
    </w:pPr>
    <w:rPr>
      <w:rFonts w:eastAsia="" w:cs="" w:cstheme="majorBidi" w:eastAsiaTheme="majorEastAsia"/>
      <w:i/>
      <w:iCs/>
      <w:color w:val="0F4761" w:themeColor="accent1" w:themeShade="bf"/>
    </w:rPr>
  </w:style>
  <w:style w:type="paragraph" w:styleId="Titre5">
    <w:name w:val="Heading 5"/>
    <w:basedOn w:val="Normal"/>
    <w:next w:val="Normal"/>
    <w:link w:val="Titre5Car"/>
    <w:uiPriority w:val="9"/>
    <w:semiHidden/>
    <w:unhideWhenUsed/>
    <w:qFormat/>
    <w:rsid w:val="00b53058"/>
    <w:pPr>
      <w:keepNext w:val="true"/>
      <w:keepLines/>
      <w:spacing w:before="80" w:after="40"/>
      <w:outlineLvl w:val="4"/>
    </w:pPr>
    <w:rPr>
      <w:rFonts w:eastAsia="" w:cs="" w:cstheme="majorBidi" w:eastAsiaTheme="majorEastAsia"/>
      <w:color w:val="0F4761" w:themeColor="accent1" w:themeShade="bf"/>
    </w:rPr>
  </w:style>
  <w:style w:type="paragraph" w:styleId="Titre6">
    <w:name w:val="Heading 6"/>
    <w:basedOn w:val="Normal"/>
    <w:next w:val="Normal"/>
    <w:link w:val="Titre6Car"/>
    <w:uiPriority w:val="9"/>
    <w:semiHidden/>
    <w:unhideWhenUsed/>
    <w:qFormat/>
    <w:rsid w:val="00b53058"/>
    <w:pPr>
      <w:keepNext w:val="true"/>
      <w:keepLines/>
      <w:spacing w:before="40" w:after="0"/>
      <w:outlineLvl w:val="5"/>
    </w:pPr>
    <w:rPr>
      <w:rFonts w:eastAsia="" w:cs="" w:cstheme="majorBidi" w:eastAsiaTheme="majorEastAsia"/>
      <w:i/>
      <w:iCs/>
      <w:color w:val="595959" w:themeColor="text1" w:themeTint="a6"/>
    </w:rPr>
  </w:style>
  <w:style w:type="paragraph" w:styleId="Titre7">
    <w:name w:val="Heading 7"/>
    <w:basedOn w:val="Normal"/>
    <w:next w:val="Normal"/>
    <w:link w:val="Titre7Car"/>
    <w:uiPriority w:val="9"/>
    <w:semiHidden/>
    <w:unhideWhenUsed/>
    <w:qFormat/>
    <w:rsid w:val="00b53058"/>
    <w:pPr>
      <w:keepNext w:val="true"/>
      <w:keepLines/>
      <w:spacing w:before="40" w:after="0"/>
      <w:outlineLvl w:val="6"/>
    </w:pPr>
    <w:rPr>
      <w:rFonts w:eastAsia="" w:cs="" w:cstheme="majorBidi" w:eastAsiaTheme="majorEastAsia"/>
      <w:color w:val="595959" w:themeColor="text1" w:themeTint="a6"/>
    </w:rPr>
  </w:style>
  <w:style w:type="paragraph" w:styleId="Titre8">
    <w:name w:val="Heading 8"/>
    <w:basedOn w:val="Normal"/>
    <w:next w:val="Normal"/>
    <w:link w:val="Titre8Car"/>
    <w:uiPriority w:val="9"/>
    <w:semiHidden/>
    <w:unhideWhenUsed/>
    <w:qFormat/>
    <w:rsid w:val="00b53058"/>
    <w:pPr>
      <w:keepNext w:val="true"/>
      <w:keepLines/>
      <w:spacing w:before="0" w:after="0"/>
      <w:outlineLvl w:val="7"/>
    </w:pPr>
    <w:rPr>
      <w:rFonts w:eastAsia="" w:cs="" w:cstheme="majorBidi" w:eastAsiaTheme="majorEastAsia"/>
      <w:i/>
      <w:iCs/>
      <w:color w:val="272727" w:themeColor="text1" w:themeTint="d8"/>
    </w:rPr>
  </w:style>
  <w:style w:type="paragraph" w:styleId="Titre9">
    <w:name w:val="Heading 9"/>
    <w:basedOn w:val="Normal"/>
    <w:next w:val="Normal"/>
    <w:link w:val="Titre9Car"/>
    <w:uiPriority w:val="9"/>
    <w:semiHidden/>
    <w:unhideWhenUsed/>
    <w:qFormat/>
    <w:rsid w:val="00b5305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uiPriority w:val="9"/>
    <w:qFormat/>
    <w:rsid w:val="00b53058"/>
    <w:rPr>
      <w:rFonts w:ascii="Aptos Display" w:hAnsi="Aptos Display" w:eastAsia="" w:cs="" w:asciiTheme="majorHAnsi" w:cstheme="majorBidi" w:eastAsiaTheme="majorEastAsia" w:hAnsiTheme="majorHAnsi"/>
      <w:color w:val="0F4761" w:themeColor="accent1" w:themeShade="bf"/>
      <w:sz w:val="40"/>
      <w:szCs w:val="40"/>
    </w:rPr>
  </w:style>
  <w:style w:type="character" w:styleId="Titre2Car" w:customStyle="1">
    <w:name w:val="Titre 2 Car"/>
    <w:basedOn w:val="DefaultParagraphFont"/>
    <w:link w:val="Titre2"/>
    <w:uiPriority w:val="9"/>
    <w:qFormat/>
    <w:rsid w:val="00b53058"/>
    <w:rPr>
      <w:rFonts w:ascii="Aptos Display" w:hAnsi="Aptos Display" w:eastAsia="" w:cs="" w:asciiTheme="majorHAnsi" w:cstheme="majorBidi" w:eastAsiaTheme="majorEastAsia" w:hAnsiTheme="majorHAnsi"/>
      <w:color w:val="0F4761" w:themeColor="accent1" w:themeShade="bf"/>
      <w:sz w:val="32"/>
      <w:szCs w:val="32"/>
    </w:rPr>
  </w:style>
  <w:style w:type="character" w:styleId="Titre3Car" w:customStyle="1">
    <w:name w:val="Titre 3 Car"/>
    <w:basedOn w:val="DefaultParagraphFont"/>
    <w:link w:val="Titre3"/>
    <w:uiPriority w:val="9"/>
    <w:semiHidden/>
    <w:qFormat/>
    <w:rsid w:val="00b53058"/>
    <w:rPr>
      <w:rFonts w:eastAsia="" w:cs="" w:cstheme="majorBidi" w:eastAsiaTheme="majorEastAsia"/>
      <w:color w:val="0F4761" w:themeColor="accent1" w:themeShade="bf"/>
      <w:sz w:val="28"/>
      <w:szCs w:val="28"/>
    </w:rPr>
  </w:style>
  <w:style w:type="character" w:styleId="Titre4Car" w:customStyle="1">
    <w:name w:val="Titre 4 Car"/>
    <w:basedOn w:val="DefaultParagraphFont"/>
    <w:link w:val="Titre4"/>
    <w:uiPriority w:val="9"/>
    <w:semiHidden/>
    <w:qFormat/>
    <w:rsid w:val="00b53058"/>
    <w:rPr>
      <w:rFonts w:eastAsia="" w:cs="" w:cstheme="majorBidi" w:eastAsiaTheme="majorEastAsia"/>
      <w:i/>
      <w:iCs/>
      <w:color w:val="0F4761" w:themeColor="accent1" w:themeShade="bf"/>
    </w:rPr>
  </w:style>
  <w:style w:type="character" w:styleId="Titre5Car" w:customStyle="1">
    <w:name w:val="Titre 5 Car"/>
    <w:basedOn w:val="DefaultParagraphFont"/>
    <w:link w:val="Titre5"/>
    <w:uiPriority w:val="9"/>
    <w:semiHidden/>
    <w:qFormat/>
    <w:rsid w:val="00b53058"/>
    <w:rPr>
      <w:rFonts w:eastAsia="" w:cs="" w:cstheme="majorBidi" w:eastAsiaTheme="majorEastAsia"/>
      <w:color w:val="0F4761" w:themeColor="accent1" w:themeShade="bf"/>
    </w:rPr>
  </w:style>
  <w:style w:type="character" w:styleId="Titre6Car" w:customStyle="1">
    <w:name w:val="Titre 6 Car"/>
    <w:basedOn w:val="DefaultParagraphFont"/>
    <w:link w:val="Titre6"/>
    <w:uiPriority w:val="9"/>
    <w:semiHidden/>
    <w:qFormat/>
    <w:rsid w:val="00b53058"/>
    <w:rPr>
      <w:rFonts w:eastAsia="" w:cs="" w:cstheme="majorBidi" w:eastAsiaTheme="majorEastAsia"/>
      <w:i/>
      <w:iCs/>
      <w:color w:val="595959" w:themeColor="text1" w:themeTint="a6"/>
    </w:rPr>
  </w:style>
  <w:style w:type="character" w:styleId="Titre7Car" w:customStyle="1">
    <w:name w:val="Titre 7 Car"/>
    <w:basedOn w:val="DefaultParagraphFont"/>
    <w:link w:val="Titre7"/>
    <w:uiPriority w:val="9"/>
    <w:semiHidden/>
    <w:qFormat/>
    <w:rsid w:val="00b53058"/>
    <w:rPr>
      <w:rFonts w:eastAsia="" w:cs="" w:cstheme="majorBidi" w:eastAsiaTheme="majorEastAsia"/>
      <w:color w:val="595959" w:themeColor="text1" w:themeTint="a6"/>
    </w:rPr>
  </w:style>
  <w:style w:type="character" w:styleId="Titre8Car" w:customStyle="1">
    <w:name w:val="Titre 8 Car"/>
    <w:basedOn w:val="DefaultParagraphFont"/>
    <w:link w:val="Titre8"/>
    <w:uiPriority w:val="9"/>
    <w:semiHidden/>
    <w:qFormat/>
    <w:rsid w:val="00b53058"/>
    <w:rPr>
      <w:rFonts w:eastAsia="" w:cs="" w:cstheme="majorBidi" w:eastAsiaTheme="majorEastAsia"/>
      <w:i/>
      <w:iCs/>
      <w:color w:val="272727" w:themeColor="text1" w:themeTint="d8"/>
    </w:rPr>
  </w:style>
  <w:style w:type="character" w:styleId="Titre9Car" w:customStyle="1">
    <w:name w:val="Titre 9 Car"/>
    <w:basedOn w:val="DefaultParagraphFont"/>
    <w:link w:val="Titre9"/>
    <w:uiPriority w:val="9"/>
    <w:semiHidden/>
    <w:qFormat/>
    <w:rsid w:val="00b53058"/>
    <w:rPr>
      <w:rFonts w:eastAsia="" w:cs="" w:cstheme="majorBidi" w:eastAsiaTheme="majorEastAsia"/>
      <w:color w:val="272727" w:themeColor="text1" w:themeTint="d8"/>
    </w:rPr>
  </w:style>
  <w:style w:type="character" w:styleId="TitreCar" w:customStyle="1">
    <w:name w:val="Titre Car"/>
    <w:basedOn w:val="DefaultParagraphFont"/>
    <w:link w:val="Titre"/>
    <w:uiPriority w:val="10"/>
    <w:qFormat/>
    <w:rsid w:val="00b53058"/>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b53058"/>
    <w:rPr>
      <w:rFonts w:eastAsia="" w:cs="" w:cstheme="majorBidi" w:eastAsiaTheme="majorEastAsia"/>
      <w:color w:val="595959" w:themeColor="text1" w:themeTint="a6"/>
      <w:spacing w:val="15"/>
      <w:sz w:val="28"/>
      <w:szCs w:val="28"/>
    </w:rPr>
  </w:style>
  <w:style w:type="character" w:styleId="CitationCar" w:customStyle="1">
    <w:name w:val="Citation Car"/>
    <w:basedOn w:val="DefaultParagraphFont"/>
    <w:link w:val="Citation"/>
    <w:uiPriority w:val="29"/>
    <w:qFormat/>
    <w:rsid w:val="00b53058"/>
    <w:rPr>
      <w:i/>
      <w:iCs/>
      <w:color w:val="404040" w:themeColor="text1" w:themeTint="bf"/>
    </w:rPr>
  </w:style>
  <w:style w:type="character" w:styleId="IntenseEmphasis">
    <w:name w:val="Intense Emphasis"/>
    <w:basedOn w:val="DefaultParagraphFont"/>
    <w:uiPriority w:val="21"/>
    <w:qFormat/>
    <w:rsid w:val="00b53058"/>
    <w:rPr>
      <w:i/>
      <w:iCs/>
      <w:color w:val="0F4761" w:themeColor="accent1" w:themeShade="bf"/>
    </w:rPr>
  </w:style>
  <w:style w:type="character" w:styleId="CitationintenseCar" w:customStyle="1">
    <w:name w:val="Citation intense Car"/>
    <w:basedOn w:val="DefaultParagraphFont"/>
    <w:link w:val="Citationintense"/>
    <w:uiPriority w:val="30"/>
    <w:qFormat/>
    <w:rsid w:val="00b53058"/>
    <w:rPr>
      <w:i/>
      <w:iCs/>
      <w:color w:val="0F4761" w:themeColor="accent1" w:themeShade="bf"/>
    </w:rPr>
  </w:style>
  <w:style w:type="character" w:styleId="IntenseReference">
    <w:name w:val="Intense Reference"/>
    <w:basedOn w:val="DefaultParagraphFont"/>
    <w:uiPriority w:val="32"/>
    <w:qFormat/>
    <w:rsid w:val="00b53058"/>
    <w:rPr>
      <w:b/>
      <w:bCs/>
      <w:smallCaps/>
      <w:color w:val="0F4761" w:themeColor="accent1" w:themeShade="bf"/>
      <w:spacing w:val="5"/>
    </w:rPr>
  </w:style>
  <w:style w:type="character" w:styleId="LienInternet" w:customStyle="1">
    <w:name w:val="Lien Internet"/>
    <w:rPr>
      <w:color w:val="000080"/>
      <w:u w:val="single"/>
    </w:rPr>
  </w:style>
  <w:style w:type="character" w:styleId="Puces" w:customStyle="1">
    <w:name w:val="Puces"/>
    <w:qFormat/>
    <w:rPr>
      <w:rFonts w:ascii="OpenSymbol" w:hAnsi="OpenSymbol" w:eastAsia="OpenSymbol" w:cs="OpenSymbol"/>
    </w:rPr>
  </w:style>
  <w:style w:type="character" w:styleId="Accentuationforte" w:customStyle="1">
    <w:name w:val="Accentuation forte"/>
    <w:qFormat/>
    <w:rPr>
      <w:b/>
      <w:bCs/>
    </w:rPr>
  </w:style>
  <w:style w:type="character" w:styleId="Caractresdenumrotation" w:customStyle="1">
    <w:name w:val="Caractères de numérotation"/>
    <w:qFormat/>
    <w:rPr/>
  </w:style>
  <w:style w:type="character" w:styleId="CommentaireCar" w:customStyle="1">
    <w:name w:val="Commentaire Car"/>
    <w:basedOn w:val="DefaultParagraphFont"/>
    <w:link w:val="Commentaire"/>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rFonts w:ascii="Arial" w:hAnsi="Arial"/>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link w:val="TitreCar"/>
    <w:uiPriority w:val="10"/>
    <w:qFormat/>
    <w:rsid w:val="00b53058"/>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Caption">
    <w:name w:val="caption"/>
    <w:basedOn w:val="Normal"/>
    <w:qFormat/>
    <w:pPr>
      <w:suppressLineNumbers/>
      <w:spacing w:before="120" w:after="120"/>
    </w:pPr>
    <w:rPr>
      <w:rFonts w:cs="Lucida Sans"/>
      <w:i/>
      <w:iCs/>
      <w:sz w:val="24"/>
      <w:szCs w:val="24"/>
    </w:rPr>
  </w:style>
  <w:style w:type="paragraph" w:styleId="Soustitre">
    <w:name w:val="Subtitle"/>
    <w:basedOn w:val="Normal"/>
    <w:next w:val="Normal"/>
    <w:uiPriority w:val="11"/>
    <w:qFormat/>
    <w:rsid w:val="00b53058"/>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tionCar"/>
    <w:uiPriority w:val="29"/>
    <w:qFormat/>
    <w:rsid w:val="00b53058"/>
    <w:pPr>
      <w:spacing w:before="160" w:after="160"/>
      <w:jc w:val="center"/>
    </w:pPr>
    <w:rPr>
      <w:i/>
      <w:iCs/>
      <w:color w:val="404040" w:themeColor="text1" w:themeTint="bf"/>
    </w:rPr>
  </w:style>
  <w:style w:type="paragraph" w:styleId="ListParagraph">
    <w:name w:val="List Paragraph"/>
    <w:basedOn w:val="Normal"/>
    <w:uiPriority w:val="34"/>
    <w:qFormat/>
    <w:rsid w:val="00b53058"/>
    <w:pPr>
      <w:spacing w:before="0" w:after="160"/>
      <w:ind w:left="720" w:hanging="0"/>
      <w:contextualSpacing/>
    </w:pPr>
    <w:rPr/>
  </w:style>
  <w:style w:type="paragraph" w:styleId="IntenseQuote">
    <w:name w:val="Intense Quote"/>
    <w:basedOn w:val="Normal"/>
    <w:next w:val="Normal"/>
    <w:link w:val="CitationintenseCar"/>
    <w:uiPriority w:val="30"/>
    <w:qFormat/>
    <w:rsid w:val="00b53058"/>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Annotationtext">
    <w:name w:val="annotation text"/>
    <w:basedOn w:val="Normal"/>
    <w:link w:val="CommentaireCar"/>
    <w:uiPriority w:val="99"/>
    <w:semiHidden/>
    <w:unhideWhenUsed/>
    <w:qFormat/>
    <w:pPr>
      <w:spacing w:lineRule="auto" w:line="240"/>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ac65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LibreOffice/7.0.4.2$Windows_X86_64 LibreOffice_project/dcf040e67528d9187c66b2379df5ea4407429775</Application>
  <AppVersion>15.0000</AppVersion>
  <Pages>6</Pages>
  <Words>1467</Words>
  <Characters>8114</Characters>
  <CharactersWithSpaces>9453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2024-10-06T08:02:00Z</dcterms:created>
  <dc:creator>Lucie Della-Negra</dc:creator>
  <dc:description/>
  <dc:language>fr-FR</dc:language>
  <cp:lastModifiedBy/>
  <dcterms:modified xsi:type="dcterms:W3CDTF">2024-10-09T09:00:50Z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