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sz w:val="40"/>
          <w:szCs w:val="40"/>
        </w:rPr>
      </w:pPr>
      <w:r>
        <w:rPr>
          <w:sz w:val="40"/>
          <w:szCs w:val="40"/>
        </w:rPr>
        <w:t>Protocole expérimentale de la phase B</w:t>
      </w:r>
    </w:p>
    <w:p>
      <w:pPr>
        <w:pStyle w:val="Normal"/>
        <w:rPr/>
      </w:pPr>
      <w:r>
        <w:rPr/>
      </w:r>
    </w:p>
    <w:p>
      <w:pPr>
        <w:pStyle w:val="Titre1"/>
        <w:numPr>
          <w:ilvl w:val="0"/>
          <w:numId w:val="1"/>
        </w:numPr>
        <w:rPr>
          <w:sz w:val="32"/>
          <w:szCs w:val="32"/>
        </w:rPr>
      </w:pPr>
      <w:r>
        <w:rPr>
          <w:sz w:val="32"/>
          <w:szCs w:val="32"/>
        </w:rPr>
        <w:t>Rappel des objectifs</w:t>
      </w:r>
    </w:p>
    <w:p>
      <w:pPr>
        <w:pStyle w:val="Corpsdetexte"/>
        <w:rPr>
          <w:sz w:val="24"/>
          <w:szCs w:val="24"/>
        </w:rPr>
      </w:pPr>
      <w:r>
        <w:rPr/>
      </w:r>
    </w:p>
    <w:p>
      <w:pPr>
        <w:pStyle w:val="Corpsdetexte"/>
        <w:rPr>
          <w:sz w:val="24"/>
          <w:szCs w:val="24"/>
        </w:rPr>
      </w:pPr>
      <w:r>
        <w:rPr/>
        <w:t xml:space="preserve">Objectifs de la phase B : </w:t>
      </w:r>
    </w:p>
    <w:p>
      <w:pPr>
        <w:pStyle w:val="Corpsdetexte"/>
        <w:numPr>
          <w:ilvl w:val="0"/>
          <w:numId w:val="8"/>
        </w:numPr>
        <w:rPr>
          <w:sz w:val="24"/>
          <w:szCs w:val="24"/>
        </w:rPr>
      </w:pPr>
      <w:r>
        <w:rPr/>
        <w:t>Compléter l’arbre décisionnel de la phase A</w:t>
      </w:r>
    </w:p>
    <w:p>
      <w:pPr>
        <w:pStyle w:val="Corpsdetexte"/>
        <w:numPr>
          <w:ilvl w:val="0"/>
          <w:numId w:val="8"/>
        </w:numPr>
        <w:rPr>
          <w:sz w:val="24"/>
          <w:szCs w:val="24"/>
        </w:rPr>
      </w:pPr>
      <w:r>
        <w:rPr/>
        <w:t>Etablir le profil psychologique d’un joueur</w:t>
      </w:r>
    </w:p>
    <w:p>
      <w:pPr>
        <w:pStyle w:val="Corpsdetexte"/>
        <w:numPr>
          <w:ilvl w:val="0"/>
          <w:numId w:val="8"/>
        </w:numPr>
        <w:rPr>
          <w:sz w:val="24"/>
          <w:szCs w:val="24"/>
        </w:rPr>
      </w:pPr>
      <w:r>
        <w:rPr/>
        <w:t>Déterminer les stratégies utilisées par les joueurs et leurs motivations</w:t>
      </w:r>
    </w:p>
    <w:p>
      <w:pPr>
        <w:pStyle w:val="Corpsdetexte"/>
        <w:numPr>
          <w:ilvl w:val="0"/>
          <w:numId w:val="8"/>
        </w:numPr>
        <w:rPr>
          <w:sz w:val="24"/>
          <w:szCs w:val="24"/>
        </w:rPr>
      </w:pPr>
      <w:r>
        <w:rPr/>
        <w:t>Repérer des changements de stratégies naturels et leurs causes</w:t>
      </w:r>
    </w:p>
    <w:p>
      <w:pPr>
        <w:pStyle w:val="Corpsdetexte"/>
        <w:rPr>
          <w:sz w:val="24"/>
          <w:szCs w:val="24"/>
        </w:rPr>
      </w:pPr>
      <w:r>
        <w:rPr/>
      </w:r>
    </w:p>
    <w:p>
      <w:pPr>
        <w:pStyle w:val="Corpsdetexte"/>
        <w:rPr>
          <w:sz w:val="24"/>
          <w:szCs w:val="24"/>
        </w:rPr>
      </w:pPr>
      <w:r>
        <w:rPr/>
        <w:t>Éléments utilisés pour la réalisation des objectifs :</w:t>
      </w:r>
    </w:p>
    <w:p>
      <w:pPr>
        <w:pStyle w:val="Corpsdetexte"/>
        <w:numPr>
          <w:ilvl w:val="0"/>
          <w:numId w:val="5"/>
        </w:numPr>
        <w:rPr>
          <w:sz w:val="24"/>
          <w:szCs w:val="24"/>
        </w:rPr>
      </w:pPr>
      <w:r>
        <w:rPr/>
        <w:t>Gestion de la main initiale des joueurs (voire tout le long de la partie)</w:t>
      </w:r>
    </w:p>
    <w:p>
      <w:pPr>
        <w:pStyle w:val="Corpsdetexte"/>
        <w:numPr>
          <w:ilvl w:val="0"/>
          <w:numId w:val="5"/>
        </w:numPr>
        <w:rPr>
          <w:sz w:val="24"/>
          <w:szCs w:val="24"/>
        </w:rPr>
      </w:pPr>
      <w:r>
        <w:rPr/>
        <w:t>Questionnaires des personnalité et/ou métacognitifs</w:t>
      </w:r>
    </w:p>
    <w:p>
      <w:pPr>
        <w:pStyle w:val="Corpsdetexte"/>
        <w:numPr>
          <w:ilvl w:val="0"/>
          <w:numId w:val="5"/>
        </w:numPr>
        <w:rPr>
          <w:sz w:val="24"/>
          <w:szCs w:val="24"/>
        </w:rPr>
      </w:pPr>
      <w:r>
        <w:rPr/>
        <w:t>Entretien d’auto-confrontation</w:t>
      </w:r>
    </w:p>
    <w:p>
      <w:pPr>
        <w:pStyle w:val="ListParagraph"/>
        <w:rPr>
          <w:sz w:val="24"/>
          <w:szCs w:val="24"/>
        </w:rPr>
      </w:pPr>
      <w:r>
        <w:rPr>
          <w:sz w:val="24"/>
          <w:szCs w:val="24"/>
        </w:rPr>
      </w:r>
    </w:p>
    <w:p>
      <w:pPr>
        <w:pStyle w:val="Titre1"/>
        <w:numPr>
          <w:ilvl w:val="0"/>
          <w:numId w:val="1"/>
        </w:numPr>
        <w:rPr>
          <w:sz w:val="32"/>
          <w:szCs w:val="32"/>
        </w:rPr>
      </w:pPr>
      <w:r>
        <w:rPr>
          <w:sz w:val="32"/>
          <w:szCs w:val="32"/>
        </w:rPr>
        <w:t>Déroulement générale de l’expérimentation</w:t>
      </w:r>
    </w:p>
    <w:p>
      <w:pPr>
        <w:pStyle w:val="Normal"/>
        <w:rPr/>
      </w:pPr>
      <w:r>
        <w:rPr/>
      </w:r>
    </w:p>
    <w:p>
      <w:pPr>
        <w:pStyle w:val="Corpsdetexte"/>
        <w:rPr>
          <w:sz w:val="24"/>
          <w:szCs w:val="24"/>
        </w:rPr>
      </w:pPr>
      <w:r>
        <w:rPr/>
        <w:t>Les parties seront filmées afin de pouvoir revenir sur chaque action notamment pendant l’entretien d’auto-confrontation, mais il faudra tout de même remplir des grilles d’observation.</w:t>
      </w:r>
    </w:p>
    <w:p>
      <w:pPr>
        <w:pStyle w:val="Corpsdetexte"/>
        <w:rPr>
          <w:sz w:val="24"/>
          <w:szCs w:val="24"/>
        </w:rPr>
      </w:pPr>
      <w:r>
        <w:rPr/>
        <w:t>Les joueurs commencent la partie avec le même set de cartes déterminé à l’avance comme le jeu le plus « multistratégique » possible pour ne pas influencer la stratégie initiale.</w:t>
      </w:r>
    </w:p>
    <w:p>
      <w:pPr>
        <w:pStyle w:val="Normal"/>
        <w:rPr>
          <w:sz w:val="24"/>
          <w:szCs w:val="24"/>
        </w:rPr>
      </w:pPr>
      <w:r>
        <w:rPr>
          <w:sz w:val="24"/>
          <w:szCs w:val="24"/>
        </w:rPr>
      </w:r>
    </w:p>
    <w:p>
      <w:pPr>
        <w:pStyle w:val="Corpsdetexte"/>
        <w:rPr>
          <w:sz w:val="24"/>
          <w:szCs w:val="24"/>
        </w:rPr>
      </w:pPr>
      <w:r>
        <w:rPr/>
      </w:r>
    </w:p>
    <w:p>
      <w:pPr>
        <w:pStyle w:val="Corpsdetexte"/>
        <w:rPr>
          <w:sz w:val="24"/>
          <w:szCs w:val="24"/>
        </w:rPr>
      </w:pPr>
      <w:r>
        <w:rPr>
          <w:b/>
          <w:bCs/>
        </w:rPr>
        <w:t>Déroulement </w:t>
      </w:r>
      <w:r>
        <w:rPr/>
        <w:t>:</w:t>
      </w:r>
    </w:p>
    <w:p>
      <w:pPr>
        <w:pStyle w:val="Corpsdetexte"/>
        <w:rPr>
          <w:sz w:val="24"/>
          <w:szCs w:val="24"/>
        </w:rPr>
      </w:pPr>
      <w:r>
        <w:rPr/>
        <w:t>3 groupes différents de 4 joueurs (1 groupe d’experts du jeu, 1 groupe de débutants et 1 groupe avec 2 experts et 2 débutants) joueront chacun 2 parties. 3 expérimentateurs suivront chaque partie : chacun devra remplir la grille d’observation de 1 ou 2 des 4 joueurs. Chaque expérimentateur mènera ensuite des entretiens d’auto-confrontation avec chacun des joueurs qu’il a observés, afin de vérifier si l’identification de ses intentions et stratégies était correcte.</w:t>
      </w:r>
    </w:p>
    <w:p>
      <w:pPr>
        <w:pStyle w:val="Corpsdetexte"/>
        <w:rPr>
          <w:sz w:val="24"/>
          <w:szCs w:val="24"/>
        </w:rPr>
      </w:pPr>
      <w:r>
        <w:rPr/>
      </w:r>
    </w:p>
    <w:p>
      <w:pPr>
        <w:pStyle w:val="Corpsdetexte"/>
        <w:rPr>
          <w:sz w:val="24"/>
          <w:szCs w:val="24"/>
        </w:rPr>
      </w:pPr>
      <w:r>
        <w:rPr/>
      </w:r>
    </w:p>
    <w:p>
      <w:pPr>
        <w:pStyle w:val="Corpsdetexte"/>
        <w:rPr>
          <w:sz w:val="24"/>
          <w:szCs w:val="24"/>
        </w:rPr>
      </w:pPr>
      <w:r>
        <w:rPr/>
      </w:r>
    </w:p>
    <w:p>
      <w:pPr>
        <w:pStyle w:val="Corpsdetexte"/>
        <w:rPr>
          <w:sz w:val="24"/>
          <w:szCs w:val="24"/>
        </w:rPr>
      </w:pPr>
      <w:r>
        <w:rPr/>
        <w:t>GRILLE D’OBSERVATION DE CHAQUE JOUEUR :</w:t>
      </w:r>
    </w:p>
    <w:p>
      <w:pPr>
        <w:pStyle w:val="Corpsdetexte"/>
        <w:numPr>
          <w:ilvl w:val="0"/>
          <w:numId w:val="2"/>
        </w:numPr>
        <w:rPr>
          <w:sz w:val="24"/>
          <w:szCs w:val="24"/>
        </w:rPr>
      </w:pPr>
      <w:r>
        <w:rPr/>
        <w:t>Âge, genre, niveau d’études</w:t>
      </w:r>
    </w:p>
    <w:p>
      <w:pPr>
        <w:pStyle w:val="Corpsdetexte"/>
        <w:numPr>
          <w:ilvl w:val="0"/>
          <w:numId w:val="2"/>
        </w:numPr>
        <w:rPr>
          <w:sz w:val="24"/>
          <w:szCs w:val="24"/>
        </w:rPr>
      </w:pPr>
      <w:r>
        <w:rPr/>
        <w:t>Expérience préalable sur le jeu de Galèrapagos</w:t>
      </w:r>
    </w:p>
    <w:p>
      <w:pPr>
        <w:pStyle w:val="Corpsdetexte"/>
        <w:numPr>
          <w:ilvl w:val="0"/>
          <w:numId w:val="2"/>
        </w:numPr>
        <w:rPr>
          <w:sz w:val="24"/>
          <w:szCs w:val="24"/>
        </w:rPr>
      </w:pPr>
      <w:r>
        <w:rPr/>
        <w:t>Pendant chaque partie :</w:t>
      </w:r>
    </w:p>
    <w:p>
      <w:pPr>
        <w:pStyle w:val="Corpsdetexte"/>
        <w:rPr>
          <w:sz w:val="24"/>
          <w:szCs w:val="24"/>
        </w:rPr>
      </w:pPr>
      <w:r>
        <w:rPr/>
        <w:t>(Avant de démarrer la partie, il faudra encourager les joueurs à communiquer entre eux et discuter des décisions afin d’avoir plus d’éléments verbaux à analyser. Cela permettra également de connaître le consensus de l’équipe à tout moment afin de mieux interpréter les actions individuelles comme étant des actions individualistes ou collectives, suivant si elles répondent ou non au consensus atteint.)</w:t>
      </w:r>
    </w:p>
    <w:p>
      <w:pPr>
        <w:pStyle w:val="Corpsdetexte"/>
        <w:numPr>
          <w:ilvl w:val="1"/>
          <w:numId w:val="3"/>
        </w:numPr>
        <w:rPr>
          <w:sz w:val="24"/>
          <w:szCs w:val="24"/>
        </w:rPr>
      </w:pPr>
      <w:r>
        <w:rPr/>
        <w:t>Noter les cartes dont dispose le joueur</w:t>
      </w:r>
    </w:p>
    <w:p>
      <w:pPr>
        <w:pStyle w:val="Corpsdetexte"/>
        <w:numPr>
          <w:ilvl w:val="1"/>
          <w:numId w:val="3"/>
        </w:numPr>
        <w:rPr>
          <w:sz w:val="24"/>
          <w:szCs w:val="24"/>
        </w:rPr>
      </w:pPr>
      <w:r>
        <w:rPr/>
        <w:t>Noter chaque action / décision ainsi que les verbatims et observations diverses (non-verbal, comportement…)</w:t>
      </w:r>
    </w:p>
    <w:p>
      <w:pPr>
        <w:pStyle w:val="Corpsdetexte"/>
        <w:rPr>
          <w:sz w:val="24"/>
          <w:szCs w:val="24"/>
        </w:rPr>
      </w:pPr>
      <w:r>
        <w:rPr/>
      </w:r>
    </w:p>
    <w:p>
      <w:pPr>
        <w:pStyle w:val="Corpsdetexte"/>
        <w:numPr>
          <w:ilvl w:val="0"/>
          <w:numId w:val="3"/>
        </w:numPr>
        <w:rPr>
          <w:sz w:val="24"/>
          <w:szCs w:val="24"/>
        </w:rPr>
      </w:pPr>
      <w:r>
        <w:rPr/>
        <w:t>Entretien d’auto-confrontation :</w:t>
      </w:r>
    </w:p>
    <w:p>
      <w:pPr>
        <w:pStyle w:val="Corpsdetexte"/>
        <w:numPr>
          <w:ilvl w:val="1"/>
          <w:numId w:val="3"/>
        </w:numPr>
        <w:rPr>
          <w:sz w:val="24"/>
          <w:szCs w:val="24"/>
        </w:rPr>
      </w:pPr>
      <w:r>
        <w:rPr/>
        <w:t>Lors de l’entretien d’auto-confrontation, il faudra revenir sur chaque action prise et demander au joueur quels étaient son intention et son objectif.</w:t>
      </w:r>
    </w:p>
    <w:p>
      <w:pPr>
        <w:pStyle w:val="Corpsdetexte"/>
        <w:numPr>
          <w:ilvl w:val="1"/>
          <w:numId w:val="3"/>
        </w:numPr>
        <w:rPr>
          <w:sz w:val="24"/>
          <w:szCs w:val="24"/>
        </w:rPr>
      </w:pPr>
      <w:r>
        <w:rPr/>
        <w:t>On pourra envisager de suivre ou précéder cet entretien d’auto-confrontation avec un questionnaire de personnalité afin de contribuer à interpréter les résultats.</w:t>
      </w:r>
    </w:p>
    <w:p>
      <w:pPr>
        <w:pStyle w:val="Corpsdetexte"/>
        <w:rPr>
          <w:sz w:val="24"/>
          <w:szCs w:val="24"/>
        </w:rPr>
      </w:pPr>
      <w:r>
        <w:rPr/>
      </w:r>
    </w:p>
    <w:p>
      <w:pPr>
        <w:pStyle w:val="Normal"/>
        <w:rPr>
          <w:sz w:val="24"/>
          <w:szCs w:val="24"/>
        </w:rPr>
      </w:pPr>
      <w:r>
        <w:rPr>
          <w:sz w:val="24"/>
          <w:szCs w:val="24"/>
        </w:rPr>
      </w:r>
    </w:p>
    <w:p>
      <w:pPr>
        <w:pStyle w:val="Titre1"/>
        <w:numPr>
          <w:ilvl w:val="0"/>
          <w:numId w:val="1"/>
        </w:numPr>
        <w:rPr>
          <w:sz w:val="32"/>
          <w:szCs w:val="32"/>
        </w:rPr>
      </w:pPr>
      <w:r>
        <w:rPr>
          <w:sz w:val="32"/>
          <w:szCs w:val="32"/>
        </w:rPr>
        <w:t>Déroulement détaillé de l’expérimentation</w:t>
      </w:r>
    </w:p>
    <w:p>
      <w:pPr>
        <w:pStyle w:val="Normal"/>
        <w:rPr/>
      </w:pPr>
      <w:r>
        <w:rPr/>
      </w:r>
    </w:p>
    <w:p>
      <w:pPr>
        <w:pStyle w:val="Titre2"/>
        <w:numPr>
          <w:ilvl w:val="0"/>
          <w:numId w:val="4"/>
        </w:numPr>
        <w:rPr>
          <w:sz w:val="28"/>
          <w:szCs w:val="28"/>
        </w:rPr>
      </w:pPr>
      <w:r>
        <w:rPr>
          <w:sz w:val="28"/>
          <w:szCs w:val="28"/>
        </w:rPr>
        <w:t>Questionnaires</w:t>
      </w:r>
    </w:p>
    <w:p>
      <w:pPr>
        <w:pStyle w:val="Corpsdetexte"/>
        <w:rPr>
          <w:sz w:val="28"/>
          <w:szCs w:val="28"/>
        </w:rPr>
      </w:pPr>
      <w:r>
        <w:rPr/>
      </w:r>
    </w:p>
    <w:p>
      <w:pPr>
        <w:pStyle w:val="Corpsdetexte"/>
        <w:rPr/>
      </w:pPr>
      <w:r>
        <w:rPr/>
        <w:t xml:space="preserve">Les questionnaires seront envoyés </w:t>
      </w:r>
      <w:r>
        <w:rPr>
          <w:b/>
          <w:bCs/>
        </w:rPr>
        <w:t>en avance</w:t>
      </w:r>
      <w:r>
        <w:rPr/>
        <w:t xml:space="preserve"> aux sujets qui auront la possibilité d’y répondre à distance. Ils doivent permettre d’évaluer les profils psychologiques des joueurs </w:t>
      </w:r>
      <w:r>
        <w:rPr/>
        <w:t xml:space="preserve">dans leur vie quotidienne, </w:t>
      </w:r>
      <w:r>
        <w:rPr/>
        <w:t xml:space="preserve">en dehors de la partie de Galérapagos. </w:t>
      </w:r>
      <w:r>
        <w:rPr/>
        <w:t>En remplissant les questionnaires à l’avance, nous cherchons à ne pas influencer le profil psychologique du joueur par son attitude lors de la partie.</w:t>
      </w:r>
    </w:p>
    <w:p>
      <w:pPr>
        <w:pStyle w:val="Corpsdetexte"/>
        <w:rPr/>
      </w:pPr>
      <w:r>
        <w:rPr/>
        <w:t xml:space="preserve">Afin de garder la méthode de mesure des profils psychologiques et métacognitifs, nous ne mélangeons pas les questions des questionnaires et restons fidèles au méthode d’évaluation validées par les recherches bibliographiques. Pour obtenir une plus large description du profil du joueur, nous choisissons de garder </w:t>
      </w:r>
      <w:r>
        <w:rPr/>
        <w:t>au moins</w:t>
      </w:r>
      <w:r>
        <w:rPr/>
        <w:t xml:space="preserve"> </w:t>
      </w:r>
      <w:r>
        <w:rPr>
          <w:b/>
          <w:bCs/>
        </w:rPr>
        <w:t>un questionnaire métacognitif</w:t>
      </w:r>
      <w:r>
        <w:rPr/>
        <w:t xml:space="preserve"> et </w:t>
      </w:r>
      <w:r>
        <w:rPr/>
        <w:t>au moins</w:t>
      </w:r>
      <w:r>
        <w:rPr/>
        <w:t xml:space="preserve"> </w:t>
      </w:r>
      <w:r>
        <w:rPr>
          <w:b/>
          <w:bCs/>
        </w:rPr>
        <w:t>un questionnaire psychologique</w:t>
      </w:r>
      <w:r>
        <w:rPr/>
        <w:t>. Les différents questionnaires sont comparés afin de justifier le choix de ces questionnaires.</w:t>
      </w:r>
    </w:p>
    <w:p>
      <w:pPr>
        <w:pStyle w:val="Corpsdetexte"/>
        <w:rPr/>
      </w:pPr>
      <w:r>
        <w:rPr/>
      </w:r>
    </w:p>
    <w:p>
      <w:pPr>
        <w:pStyle w:val="Normal"/>
        <w:rPr/>
      </w:pPr>
      <w:r>
        <w:rPr/>
      </w:r>
    </w:p>
    <w:tbl>
      <w:tblPr>
        <w:tblStyle w:val="Grilledutableau"/>
        <w:tblW w:w="10260" w:type="dxa"/>
        <w:jc w:val="left"/>
        <w:tblInd w:w="-762" w:type="dxa"/>
        <w:tblLayout w:type="fixed"/>
        <w:tblCellMar>
          <w:top w:w="0" w:type="dxa"/>
          <w:left w:w="108" w:type="dxa"/>
          <w:bottom w:w="0" w:type="dxa"/>
          <w:right w:w="108" w:type="dxa"/>
        </w:tblCellMar>
        <w:tblLook w:firstRow="1" w:noVBand="1" w:lastRow="0" w:firstColumn="1" w:lastColumn="0" w:noHBand="0" w:val="04a0"/>
      </w:tblPr>
      <w:tblGrid>
        <w:gridCol w:w="1755"/>
        <w:gridCol w:w="2835"/>
        <w:gridCol w:w="2835"/>
        <w:gridCol w:w="2835"/>
      </w:tblGrid>
      <w:tr>
        <w:trPr/>
        <w:tc>
          <w:tcPr>
            <w:tcW w:w="1755" w:type="dxa"/>
            <w:tcBorders/>
            <w:shd w:fill="999999"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Questionnaires méta-cognitifs</w:t>
            </w:r>
          </w:p>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tc>
        <w:tc>
          <w:tcPr>
            <w:tcW w:w="2835" w:type="dxa"/>
            <w:tcBorders/>
            <w:shd w:fill="DDDDDD"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Metacognitive Awareness Inventory (MAI)</w:t>
            </w:r>
          </w:p>
        </w:tc>
        <w:tc>
          <w:tcPr>
            <w:tcW w:w="2835" w:type="dxa"/>
            <w:tcBorders>
              <w:top w:val="single" w:sz="12" w:space="0" w:color="5983B0"/>
              <w:left w:val="single" w:sz="12" w:space="0" w:color="5983B0"/>
              <w:right w:val="single" w:sz="12" w:space="0" w:color="5983B0"/>
            </w:tcBorders>
            <w:shd w:fill="DDDDDD"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Short French Metacognitions questionnaire</w:t>
            </w:r>
          </w:p>
        </w:tc>
        <w:tc>
          <w:tcPr>
            <w:tcW w:w="2835" w:type="dxa"/>
            <w:tcBorders/>
            <w:shd w:fill="DDDDDD"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Cognitive Control Inventory (CCI)</w:t>
            </w:r>
          </w:p>
        </w:tc>
      </w:tr>
      <w:tr>
        <w:trPr/>
        <w:tc>
          <w:tcPr>
            <w:tcW w:w="1755" w:type="dxa"/>
            <w:tcBorders/>
            <w:shd w:fill="CCCCCC"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Avantages</w:t>
            </w:r>
          </w:p>
        </w:tc>
        <w:tc>
          <w:tcPr>
            <w:tcW w:w="2835" w:type="dxa"/>
            <w:tcBorders/>
            <w:vAlign w:val="center"/>
          </w:tcPr>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Diversité des </w:t>
            </w:r>
            <w:r>
              <w:rPr>
                <w:rFonts w:eastAsia="Aptos" w:cs="" w:ascii="Arial" w:hAnsi="Arial"/>
                <w:kern w:val="2"/>
                <w:sz w:val="22"/>
                <w:szCs w:val="22"/>
                <w:lang w:val="fr-FR" w:eastAsia="en-US" w:bidi="ar-SA"/>
              </w:rPr>
              <w:t>données méta-cognitives</w:t>
            </w:r>
            <w:r>
              <w:rPr>
                <w:rFonts w:eastAsia="Aptos" w:cs="" w:ascii="Arial" w:hAnsi="Arial"/>
                <w:kern w:val="2"/>
                <w:sz w:val="22"/>
                <w:szCs w:val="22"/>
                <w:lang w:val="fr-FR" w:eastAsia="en-US" w:bidi="ar-SA"/>
              </w:rPr>
              <w:t xml:space="preserve"> mesuré</w:t>
            </w:r>
            <w:r>
              <w:rPr>
                <w:rFonts w:eastAsia="Aptos" w:cs="" w:ascii="Arial" w:hAnsi="Arial"/>
                <w:kern w:val="2"/>
                <w:sz w:val="22"/>
                <w:szCs w:val="22"/>
                <w:lang w:val="fr-FR" w:eastAsia="en-US" w:bidi="ar-SA"/>
              </w:rPr>
              <w:t>e</w:t>
            </w:r>
            <w:r>
              <w:rPr>
                <w:rFonts w:eastAsia="Aptos" w:cs="" w:ascii="Arial" w:hAnsi="Arial"/>
                <w:kern w:val="2"/>
                <w:sz w:val="22"/>
                <w:szCs w:val="22"/>
                <w:lang w:val="fr-FR" w:eastAsia="en-US" w:bidi="ar-SA"/>
              </w:rPr>
              <w:t>s</w:t>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Validité du modèle</w:t>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tc>
        <w:tc>
          <w:tcPr>
            <w:tcW w:w="2835" w:type="dxa"/>
            <w:tcBorders>
              <w:top w:val="nil"/>
              <w:left w:val="single" w:sz="12" w:space="0" w:color="5983B0"/>
              <w:right w:val="single" w:sz="12" w:space="0" w:color="5983B0"/>
            </w:tcBorders>
            <w:shd w:fill="DEE6EF" w:val="clear"/>
            <w:vAlign w:val="center"/>
          </w:tcPr>
          <w:p>
            <w:pPr>
              <w:pStyle w:val="ListParagraph"/>
              <w:widowControl/>
              <w:numPr>
                <w:ilvl w:val="0"/>
                <w:numId w:val="0"/>
              </w:numPr>
              <w:spacing w:lineRule="auto" w:line="240" w:before="0" w:after="0"/>
              <w:ind w:left="720"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Langue française</w:t>
            </w:r>
          </w:p>
          <w:p>
            <w:pPr>
              <w:pStyle w:val="ListParagraph"/>
              <w:widowControl/>
              <w:numPr>
                <w:ilvl w:val="0"/>
                <w:numId w:val="0"/>
              </w:numPr>
              <w:spacing w:lineRule="auto" w:line="240" w:before="0" w:after="0"/>
              <w:ind w:left="720"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Durée (30 questions)</w:t>
            </w:r>
          </w:p>
        </w:tc>
        <w:tc>
          <w:tcPr>
            <w:tcW w:w="2835" w:type="dxa"/>
            <w:tcBorders/>
            <w:vAlign w:val="center"/>
          </w:tcPr>
          <w:p>
            <w:pPr>
              <w:pStyle w:val="ListParagraph"/>
              <w:widowControl/>
              <w:numPr>
                <w:ilvl w:val="0"/>
                <w:numId w:val="0"/>
              </w:numPr>
              <w:spacing w:lineRule="auto" w:line="240" w:before="0" w:after="0"/>
              <w:ind w:left="720" w:hanging="0"/>
              <w:contextualSpacing/>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w:t>
            </w:r>
          </w:p>
        </w:tc>
      </w:tr>
      <w:tr>
        <w:trPr/>
        <w:tc>
          <w:tcPr>
            <w:tcW w:w="1755" w:type="dxa"/>
            <w:tcBorders/>
            <w:shd w:fill="CCCCCC"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Inconvénients</w:t>
            </w:r>
          </w:p>
        </w:tc>
        <w:tc>
          <w:tcPr>
            <w:tcW w:w="2835" w:type="dxa"/>
            <w:tcBorders/>
            <w:vAlign w:val="center"/>
          </w:tcPr>
          <w:p>
            <w:pPr>
              <w:pStyle w:val="ListParagraph"/>
              <w:widowControl/>
              <w:numPr>
                <w:ilvl w:val="0"/>
                <w:numId w:val="0"/>
              </w:numPr>
              <w:spacing w:lineRule="auto" w:line="240" w:before="0" w:after="0"/>
              <w:ind w:left="720"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p>
            <w:pPr>
              <w:pStyle w:val="ListParagraph"/>
              <w:widowControl/>
              <w:numPr>
                <w:ilvl w:val="0"/>
                <w:numId w:val="0"/>
              </w:numPr>
              <w:spacing w:lineRule="auto" w:line="240" w:before="0" w:after="0"/>
              <w:ind w:left="720"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Limite linguistique</w:t>
            </w:r>
          </w:p>
          <w:p>
            <w:pPr>
              <w:pStyle w:val="ListParagraph"/>
              <w:widowControl/>
              <w:numPr>
                <w:ilvl w:val="0"/>
                <w:numId w:val="0"/>
              </w:numPr>
              <w:spacing w:lineRule="auto" w:line="240" w:before="0" w:after="0"/>
              <w:ind w:left="720"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Durée (52 questions)</w:t>
            </w:r>
          </w:p>
          <w:p>
            <w:pPr>
              <w:pStyle w:val="ListParagraph"/>
              <w:widowControl/>
              <w:spacing w:lineRule="auto" w:line="240" w:before="0" w:after="0"/>
              <w:ind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tc>
        <w:tc>
          <w:tcPr>
            <w:tcW w:w="2835" w:type="dxa"/>
            <w:tcBorders>
              <w:top w:val="nil"/>
              <w:left w:val="single" w:sz="12" w:space="0" w:color="5983B0"/>
              <w:bottom w:val="single" w:sz="12" w:space="0" w:color="5983B0"/>
              <w:right w:val="single" w:sz="12" w:space="0" w:color="5983B0"/>
            </w:tcBorders>
            <w:shd w:fill="DEE6EF" w:val="clear"/>
            <w:vAlign w:val="center"/>
          </w:tcPr>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Spécificité aux croyances méta-cognitives</w:t>
            </w:r>
          </w:p>
        </w:tc>
        <w:tc>
          <w:tcPr>
            <w:tcW w:w="2835" w:type="dxa"/>
            <w:tcBorders/>
            <w:vAlign w:val="center"/>
          </w:tcPr>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Limite linguistique</w:t>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Spécificité au contrôle méta- cognitif</w:t>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Documentation limitée</w:t>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tc>
      </w:tr>
    </w:tbl>
    <w:p>
      <w:pPr>
        <w:pStyle w:val="Normal"/>
        <w:rPr/>
      </w:pPr>
      <w:r>
        <w:rPr/>
      </w:r>
    </w:p>
    <w:p>
      <w:pPr>
        <w:pStyle w:val="Corpsdetexte"/>
        <w:rPr/>
      </w:pPr>
      <w:r>
        <w:rPr/>
        <w:t>Le questionnaire « Short French Metacognitions questionnaire » semble être le plus adapté à notre projet. En effet le « Metacognitive Awarness Inventory » n’est disponible qu’en anglais sans version validée en français ce qui pose un grand problème dans son utilisation. Aussi le « Cognitive Control Inventory » est très peu documenté et est en cela moins fiable que le questionnaire choisi.</w:t>
      </w:r>
    </w:p>
    <w:p>
      <w:pPr>
        <w:pStyle w:val="Normal"/>
        <w:rPr/>
      </w:pPr>
      <w:r>
        <w:rPr/>
      </w:r>
    </w:p>
    <w:tbl>
      <w:tblPr>
        <w:tblStyle w:val="Grilledutableau"/>
        <w:tblW w:w="10260" w:type="dxa"/>
        <w:jc w:val="left"/>
        <w:tblInd w:w="-762" w:type="dxa"/>
        <w:tblLayout w:type="fixed"/>
        <w:tblCellMar>
          <w:top w:w="0" w:type="dxa"/>
          <w:left w:w="108" w:type="dxa"/>
          <w:bottom w:w="0" w:type="dxa"/>
          <w:right w:w="108" w:type="dxa"/>
        </w:tblCellMar>
        <w:tblLook w:firstRow="1" w:noVBand="1" w:lastRow="0" w:firstColumn="1" w:lastColumn="0" w:noHBand="0" w:val="04a0"/>
      </w:tblPr>
      <w:tblGrid>
        <w:gridCol w:w="1755"/>
        <w:gridCol w:w="2835"/>
        <w:gridCol w:w="2835"/>
        <w:gridCol w:w="2835"/>
      </w:tblGrid>
      <w:tr>
        <w:trPr/>
        <w:tc>
          <w:tcPr>
            <w:tcW w:w="1755" w:type="dxa"/>
            <w:tcBorders/>
            <w:shd w:fill="999999"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Questionnaires psychologiques</w:t>
            </w:r>
          </w:p>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tc>
        <w:tc>
          <w:tcPr>
            <w:tcW w:w="2835" w:type="dxa"/>
            <w:tcBorders>
              <w:top w:val="single" w:sz="12" w:space="0" w:color="5983B0"/>
              <w:left w:val="single" w:sz="12" w:space="0" w:color="5983B0"/>
              <w:bottom w:val="single" w:sz="2" w:space="0" w:color="000000"/>
              <w:right w:val="single" w:sz="12" w:space="0" w:color="5983B0"/>
            </w:tcBorders>
            <w:shd w:fill="DDDDDD"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Big five Inventory (BFI)</w:t>
            </w:r>
          </w:p>
        </w:tc>
        <w:tc>
          <w:tcPr>
            <w:tcW w:w="2835" w:type="dxa"/>
            <w:tcBorders/>
            <w:shd w:fill="DDDDDD"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Échelle d’Individualisme-Collectivisme (INDCOL)</w:t>
            </w:r>
          </w:p>
        </w:tc>
        <w:tc>
          <w:tcPr>
            <w:tcW w:w="2835" w:type="dxa"/>
            <w:tcBorders/>
            <w:shd w:fill="DDDDDD"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General Decision-Making Style (GDMS)</w:t>
            </w:r>
          </w:p>
        </w:tc>
      </w:tr>
      <w:tr>
        <w:trPr/>
        <w:tc>
          <w:tcPr>
            <w:tcW w:w="1755" w:type="dxa"/>
            <w:tcBorders/>
            <w:shd w:fill="CCCCCC"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Avantages</w:t>
            </w:r>
          </w:p>
        </w:tc>
        <w:tc>
          <w:tcPr>
            <w:tcW w:w="2835" w:type="dxa"/>
            <w:tcBorders>
              <w:top w:val="nil"/>
              <w:left w:val="single" w:sz="12" w:space="0" w:color="5983B0"/>
              <w:bottom w:val="single" w:sz="2" w:space="0" w:color="000000"/>
              <w:right w:val="single" w:sz="12" w:space="0" w:color="5983B0"/>
            </w:tcBorders>
            <w:shd w:fill="DEE6EF" w:val="clear"/>
            <w:vAlign w:val="center"/>
          </w:tcPr>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Disponibilité d’une version française validée</w:t>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Documentation large</w:t>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tc>
        <w:tc>
          <w:tcPr>
            <w:tcW w:w="2835" w:type="dxa"/>
            <w:tcBorders/>
            <w:vAlign w:val="center"/>
          </w:tcPr>
          <w:p>
            <w:pPr>
              <w:pStyle w:val="ListParagraph"/>
              <w:widowControl/>
              <w:numPr>
                <w:ilvl w:val="0"/>
                <w:numId w:val="0"/>
              </w:numPr>
              <w:spacing w:lineRule="auto" w:line="240" w:before="0" w:after="0"/>
              <w:ind w:left="720"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Spécificité de la mesure sociale</w:t>
            </w:r>
          </w:p>
        </w:tc>
        <w:tc>
          <w:tcPr>
            <w:tcW w:w="2835" w:type="dxa"/>
            <w:tcBorders/>
            <w:vAlign w:val="center"/>
          </w:tcPr>
          <w:p>
            <w:pPr>
              <w:pStyle w:val="ListParagraph"/>
              <w:widowControl/>
              <w:spacing w:lineRule="auto" w:line="240" w:before="0" w:after="0"/>
              <w:ind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Spécificité de la mesure sur la prise de décision</w:t>
            </w:r>
          </w:p>
        </w:tc>
      </w:tr>
      <w:tr>
        <w:trPr/>
        <w:tc>
          <w:tcPr>
            <w:tcW w:w="1755" w:type="dxa"/>
            <w:tcBorders/>
            <w:shd w:fill="CCCCCC" w:val="clear"/>
            <w:vAlign w:val="center"/>
          </w:tcPr>
          <w:p>
            <w:pPr>
              <w:pStyle w:val="Normal"/>
              <w:widowControl/>
              <w:spacing w:lineRule="auto" w:line="240" w:before="0" w:after="0"/>
              <w:jc w:val="center"/>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Inconvénients</w:t>
            </w:r>
          </w:p>
        </w:tc>
        <w:tc>
          <w:tcPr>
            <w:tcW w:w="2835" w:type="dxa"/>
            <w:tcBorders>
              <w:top w:val="nil"/>
              <w:left w:val="single" w:sz="12" w:space="0" w:color="5983B0"/>
              <w:bottom w:val="single" w:sz="12" w:space="0" w:color="5983B0"/>
              <w:right w:val="single" w:sz="12" w:space="0" w:color="5983B0"/>
            </w:tcBorders>
            <w:shd w:fill="DEE6EF" w:val="clear"/>
            <w:vAlign w:val="center"/>
          </w:tcPr>
          <w:p>
            <w:pPr>
              <w:pStyle w:val="ListParagraph"/>
              <w:widowControl/>
              <w:numPr>
                <w:ilvl w:val="0"/>
                <w:numId w:val="0"/>
              </w:numPr>
              <w:spacing w:lineRule="auto" w:line="240" w:before="0" w:after="0"/>
              <w:ind w:left="720"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p>
            <w:pPr>
              <w:pStyle w:val="ListParagraph"/>
              <w:widowControl/>
              <w:spacing w:lineRule="auto" w:line="240" w:before="0" w:after="0"/>
              <w:ind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Durée (45 questions)</w:t>
            </w:r>
          </w:p>
          <w:p>
            <w:pPr>
              <w:pStyle w:val="ListParagraph"/>
              <w:widowControl/>
              <w:spacing w:lineRule="auto" w:line="240" w:before="0" w:after="0"/>
              <w:ind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Nuance de la classification</w:t>
            </w:r>
          </w:p>
          <w:p>
            <w:pPr>
              <w:pStyle w:val="ListParagraph"/>
              <w:widowControl/>
              <w:spacing w:lineRule="auto" w:line="240" w:before="0" w:after="0"/>
              <w:ind w:hanging="0"/>
              <w:contextualSpacing/>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tc>
        <w:tc>
          <w:tcPr>
            <w:tcW w:w="2835" w:type="dxa"/>
            <w:tcBorders/>
            <w:vAlign w:val="center"/>
          </w:tcPr>
          <w:p>
            <w:pPr>
              <w:pStyle w:val="Normal"/>
              <w:widowControl/>
              <w:spacing w:lineRule="auto" w:line="240" w:before="0" w:after="0"/>
              <w:jc w:val="left"/>
              <w:rPr>
                <w:rFonts w:ascii="Arial" w:hAnsi="Arial" w:eastAsia="Aptos" w:cs=""/>
                <w:kern w:val="2"/>
                <w:sz w:val="22"/>
                <w:szCs w:val="22"/>
                <w:lang w:val="fr-FR" w:eastAsia="en-US" w:bidi="ar-SA"/>
              </w:rPr>
            </w:pPr>
            <w:commentRangeStart w:id="0"/>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Pas de questionnaire associé</w:t>
            </w:r>
            <w:commentRangeEnd w:id="0"/>
            <w:r>
              <w:commentReference w:id="0"/>
            </w:r>
            <w:r>
              <w:rPr>
                <w:rFonts w:eastAsia="Aptos" w:cs="" w:ascii="Arial" w:hAnsi="Arial"/>
                <w:kern w:val="2"/>
                <w:sz w:val="22"/>
                <w:szCs w:val="22"/>
                <w:lang w:val="fr-FR" w:eastAsia="en-US" w:bidi="ar-SA"/>
              </w:rPr>
            </w:r>
          </w:p>
        </w:tc>
        <w:tc>
          <w:tcPr>
            <w:tcW w:w="2835" w:type="dxa"/>
            <w:tcBorders/>
            <w:vAlign w:val="center"/>
          </w:tcPr>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Limite linguistique</w:t>
            </w:r>
          </w:p>
          <w:p>
            <w:pPr>
              <w:pStyle w:val="Normal"/>
              <w:widowControl/>
              <w:spacing w:lineRule="auto" w:line="240" w:before="0" w:after="0"/>
              <w:jc w:val="left"/>
              <w:rPr>
                <w:rFonts w:ascii="Arial" w:hAnsi="Arial" w:eastAsia="Aptos" w:cs=""/>
                <w:kern w:val="2"/>
                <w:sz w:val="22"/>
                <w:szCs w:val="22"/>
                <w:lang w:val="fr-FR" w:eastAsia="en-US" w:bidi="ar-SA"/>
              </w:rPr>
            </w:pPr>
            <w:commentRangeStart w:id="1"/>
            <w:r>
              <w:rPr>
                <w:rFonts w:eastAsia="Aptos" w:cs="" w:ascii="Arial" w:hAnsi="Arial"/>
                <w:kern w:val="2"/>
                <w:sz w:val="22"/>
                <w:szCs w:val="22"/>
                <w:lang w:val="fr-FR" w:eastAsia="en-US" w:bidi="ar-SA"/>
              </w:rPr>
              <w:t xml:space="preserve">- </w:t>
            </w:r>
            <w:r>
              <w:rPr>
                <w:rFonts w:eastAsia="Aptos" w:cs="" w:ascii="Arial" w:hAnsi="Arial"/>
                <w:kern w:val="2"/>
                <w:sz w:val="22"/>
                <w:szCs w:val="22"/>
                <w:lang w:val="fr-FR" w:eastAsia="en-US" w:bidi="ar-SA"/>
              </w:rPr>
              <w:t>Pas de questionnaire associé</w:t>
            </w:r>
            <w:commentRangeEnd w:id="1"/>
            <w:r>
              <w:commentReference w:id="1"/>
            </w:r>
            <w:r>
              <w:rPr>
                <w:rFonts w:eastAsia="Aptos" w:cs="" w:ascii="Arial" w:hAnsi="Arial"/>
                <w:kern w:val="2"/>
                <w:sz w:val="22"/>
                <w:szCs w:val="22"/>
                <w:lang w:val="fr-FR" w:eastAsia="en-US" w:bidi="ar-SA"/>
              </w:rPr>
            </w:r>
          </w:p>
          <w:p>
            <w:pPr>
              <w:pStyle w:val="Normal"/>
              <w:widowControl/>
              <w:spacing w:lineRule="auto" w:line="240" w:before="0" w:after="0"/>
              <w:jc w:val="left"/>
              <w:rPr>
                <w:rFonts w:ascii="Arial" w:hAnsi="Arial" w:eastAsia="Aptos" w:cs=""/>
                <w:kern w:val="2"/>
                <w:sz w:val="22"/>
                <w:szCs w:val="22"/>
                <w:lang w:val="fr-FR" w:eastAsia="en-US" w:bidi="ar-SA"/>
              </w:rPr>
            </w:pPr>
            <w:r>
              <w:rPr>
                <w:rFonts w:eastAsia="Aptos" w:cs="" w:ascii="Arial" w:hAnsi="Arial"/>
                <w:kern w:val="2"/>
                <w:sz w:val="22"/>
                <w:szCs w:val="22"/>
                <w:lang w:val="fr-FR" w:eastAsia="en-US" w:bidi="ar-SA"/>
              </w:rPr>
            </w:r>
          </w:p>
        </w:tc>
      </w:tr>
    </w:tbl>
    <w:p>
      <w:pPr>
        <w:pStyle w:val="Normal"/>
        <w:rPr/>
      </w:pPr>
      <w:r>
        <w:rPr/>
      </w:r>
    </w:p>
    <w:p>
      <w:pPr>
        <w:pStyle w:val="Normal"/>
        <w:rPr/>
      </w:pPr>
      <w:r>
        <w:fldChar w:fldCharType="begin"/>
      </w:r>
      <w:r>
        <w:rPr>
          <w:rStyle w:val="LienInternet"/>
        </w:rPr>
        <w:instrText> HYPERLINK "https://psychologie-ge.ch/Test_Personnalite_bfi.html" \l ":~:text=Questionnaire d'auto-évaluation de la personnalité. Big Five Inventory"</w:instrText>
      </w:r>
      <w:r>
        <w:rPr>
          <w:rStyle w:val="LienInternet"/>
        </w:rPr>
        <w:fldChar w:fldCharType="separate"/>
      </w:r>
      <w:r>
        <w:rPr>
          <w:rStyle w:val="LienInternet"/>
        </w:rPr>
        <w:t>Psychologie Genève : Questionnaire d'auto-évaluation de la Personnalité (psychologie-ge.ch)</w:t>
      </w:r>
      <w:r>
        <w:rPr>
          <w:rStyle w:val="LienInternet"/>
        </w:rPr>
        <w:fldChar w:fldCharType="end"/>
      </w:r>
      <w:r>
        <w:rPr/>
        <w:t xml:space="preserve"> </w:t>
      </w:r>
    </w:p>
    <w:p>
      <w:pPr>
        <w:pStyle w:val="Normal"/>
        <w:rPr>
          <w:color w:val="FF0000"/>
        </w:rPr>
      </w:pPr>
      <w:r>
        <w:rPr/>
      </w:r>
    </w:p>
    <w:p>
      <w:pPr>
        <w:pStyle w:val="Corpsdetexte"/>
        <w:rPr/>
      </w:pPr>
      <w:r>
        <w:rPr/>
        <w:t xml:space="preserve">→ </w:t>
      </w:r>
      <w:r>
        <w:rPr/>
        <w:t>Les trois présentent un intérêt, à voir si des questionnaires en français sont disponibles pour l’</w:t>
      </w:r>
      <w:r>
        <w:rPr>
          <w:rFonts w:eastAsia="Aptos" w:cs=""/>
          <w:kern w:val="2"/>
          <w:sz w:val="22"/>
          <w:szCs w:val="22"/>
          <w:lang w:val="fr-FR" w:eastAsia="en-US" w:bidi="ar-SA"/>
        </w:rPr>
        <w:t>INDCOL et le GDMS.</w:t>
      </w:r>
    </w:p>
    <w:p>
      <w:pPr>
        <w:pStyle w:val="Normal"/>
        <w:rPr>
          <w:sz w:val="24"/>
          <w:szCs w:val="24"/>
        </w:rPr>
      </w:pPr>
      <w:r>
        <w:rPr>
          <w:sz w:val="24"/>
          <w:szCs w:val="24"/>
        </w:rPr>
      </w:r>
    </w:p>
    <w:p>
      <w:pPr>
        <w:pStyle w:val="Titre2"/>
        <w:numPr>
          <w:ilvl w:val="0"/>
          <w:numId w:val="4"/>
        </w:numPr>
        <w:rPr>
          <w:sz w:val="28"/>
          <w:szCs w:val="28"/>
        </w:rPr>
      </w:pPr>
      <w:r>
        <w:rPr>
          <w:sz w:val="28"/>
          <w:szCs w:val="28"/>
        </w:rPr>
        <w:t>Grille d’observation</w:t>
      </w:r>
    </w:p>
    <w:p>
      <w:pPr>
        <w:pStyle w:val="Normal"/>
        <w:rPr>
          <w:color w:val="FF0000"/>
          <w:sz w:val="24"/>
          <w:szCs w:val="24"/>
        </w:rPr>
      </w:pPr>
      <w:r>
        <w:rPr>
          <w:color w:val="FF0000"/>
          <w:sz w:val="24"/>
          <w:szCs w:val="24"/>
        </w:rPr>
        <w:t>Ecrire la présentation de l’expérience + consignes.</w:t>
      </w:r>
    </w:p>
    <w:p>
      <w:pPr>
        <w:pStyle w:val="Normal"/>
        <w:rPr>
          <w:color w:val="FF0000"/>
          <w:sz w:val="24"/>
          <w:szCs w:val="24"/>
        </w:rPr>
      </w:pPr>
      <w:r>
        <w:rPr>
          <w:color w:val="FF0000"/>
          <w:sz w:val="24"/>
          <w:szCs w:val="24"/>
        </w:rPr>
        <w:t>Pour le détail de la grille d’observation, cf Julien.</w:t>
      </w:r>
    </w:p>
    <w:p>
      <w:pPr>
        <w:pStyle w:val="Normal"/>
        <w:rPr>
          <w:color w:val="FF0000"/>
          <w:sz w:val="24"/>
          <w:szCs w:val="24"/>
        </w:rPr>
      </w:pPr>
      <w:r>
        <w:rPr/>
      </w:r>
    </w:p>
    <w:p>
      <w:pPr>
        <w:pStyle w:val="Titre2"/>
        <w:numPr>
          <w:ilvl w:val="0"/>
          <w:numId w:val="4"/>
        </w:numPr>
        <w:rPr>
          <w:sz w:val="28"/>
          <w:szCs w:val="28"/>
        </w:rPr>
      </w:pPr>
      <w:r>
        <w:rPr>
          <w:sz w:val="28"/>
          <w:szCs w:val="28"/>
        </w:rPr>
        <w:t>Entretien d’auto-confrontation</w:t>
      </w:r>
    </w:p>
    <w:p>
      <w:pPr>
        <w:pStyle w:val="Corpsdetexte"/>
        <w:rPr/>
      </w:pPr>
      <w:r>
        <w:rPr/>
      </w:r>
    </w:p>
    <w:p>
      <w:pPr>
        <w:pStyle w:val="Corpsdetexte"/>
        <w:rPr/>
      </w:pPr>
      <w:r>
        <w:rPr/>
        <w:t>Le but de l’entretien d’auto-confrontation est de valider avec le joueur l’identification de ses intentions et stratégies. Ils doivent permettre de mettre en lumière des changements de stratégies naturels et leurs causes, ainsi que les motivations du joueur dans le choix de sa stratégie initiale.</w:t>
      </w:r>
    </w:p>
    <w:p>
      <w:pPr>
        <w:pStyle w:val="Corpsdetexte"/>
        <w:rPr>
          <w:color w:val="FF0000"/>
        </w:rPr>
      </w:pPr>
      <w:r>
        <w:rPr/>
      </w:r>
    </w:p>
    <w:p>
      <w:pPr>
        <w:pStyle w:val="Normal"/>
        <w:rPr>
          <w:color w:val="FF0000"/>
        </w:rPr>
      </w:pPr>
      <w:r>
        <w:rPr>
          <w:color w:val="FF0000"/>
        </w:rPr>
        <w:t>Ecrire la présentation de la partie d’auto-confrontation</w:t>
      </w:r>
    </w:p>
    <w:p>
      <w:pPr>
        <w:pStyle w:val="Normal"/>
        <w:rPr>
          <w:color w:val="FF0000"/>
        </w:rPr>
      </w:pPr>
      <w:r>
        <w:rPr/>
      </w:r>
    </w:p>
    <w:p>
      <w:pPr>
        <w:pStyle w:val="Corpsdetexte"/>
        <w:rPr>
          <w:color w:val="FF0000"/>
        </w:rPr>
      </w:pPr>
      <w:r>
        <w:rPr/>
        <w:t>Questions type pour le ressenti global de la partie :</w:t>
      </w:r>
    </w:p>
    <w:p>
      <w:pPr>
        <w:pStyle w:val="Corpsdetexte"/>
        <w:numPr>
          <w:ilvl w:val="0"/>
          <w:numId w:val="7"/>
        </w:numPr>
        <w:rPr/>
      </w:pPr>
      <w:r>
        <w:rPr/>
        <w:t xml:space="preserve">À quel moment avez-vous senti que la partie prenait une tournure décisive ? </w:t>
      </w:r>
    </w:p>
    <w:p>
      <w:pPr>
        <w:pStyle w:val="Corpsdetexte"/>
        <w:numPr>
          <w:ilvl w:val="0"/>
          <w:numId w:val="7"/>
        </w:numPr>
        <w:rPr/>
      </w:pPr>
      <w:r>
        <w:rPr/>
        <w:t xml:space="preserve">Comment avez-vous perçu les interactions avec les autres joueurs ? Avez-vous ressenti une dynamique collective dans cette partie ou plutôt une compétition individualiste ? </w:t>
      </w:r>
    </w:p>
    <w:p>
      <w:pPr>
        <w:pStyle w:val="Corpsdetexte"/>
        <w:numPr>
          <w:ilvl w:val="0"/>
          <w:numId w:val="7"/>
        </w:numPr>
        <w:rPr/>
      </w:pPr>
      <w:r>
        <w:rPr/>
        <w:t>Avez-vous remarqué un changement dans votre comportement ou votre stratégie au cours de la partie ?</w:t>
      </w:r>
    </w:p>
    <w:p>
      <w:pPr>
        <w:pStyle w:val="Corpsdetexte"/>
        <w:numPr>
          <w:ilvl w:val="0"/>
          <w:numId w:val="7"/>
        </w:numPr>
        <w:rPr/>
      </w:pPr>
      <w:r>
        <w:rPr/>
        <w:t>Y a-t-il eu des moments où vous avez perdu de vue vos objectifs ? Si oui, pourquoi ?</w:t>
      </w:r>
    </w:p>
    <w:p>
      <w:pPr>
        <w:pStyle w:val="Corpsdetexte"/>
        <w:rPr/>
      </w:pPr>
      <w:r>
        <w:rPr/>
      </w:r>
    </w:p>
    <w:p>
      <w:pPr>
        <w:pStyle w:val="Corpsdetexte"/>
        <w:rPr>
          <w:color w:val="FF0000"/>
        </w:rPr>
      </w:pPr>
      <w:r>
        <w:rPr/>
        <w:t>Questions type pour le visionnage de la vidéo :</w:t>
      </w:r>
    </w:p>
    <w:p>
      <w:pPr>
        <w:pStyle w:val="Corpsdetexte"/>
        <w:numPr>
          <w:ilvl w:val="0"/>
          <w:numId w:val="6"/>
        </w:numPr>
        <w:rPr/>
      </w:pPr>
      <w:r>
        <w:rPr/>
        <w:t>Quelles étaient tes intentions en prenant cette décision ? Cherchais-tu à atteindre un objectif précis ?</w:t>
      </w:r>
    </w:p>
    <w:p>
      <w:pPr>
        <w:pStyle w:val="Corpsdetexte"/>
        <w:numPr>
          <w:ilvl w:val="0"/>
          <w:numId w:val="6"/>
        </w:numPr>
        <w:rPr/>
      </w:pPr>
      <w:r>
        <w:rPr/>
        <w:t>Quel plan global suivais-tu à ce stade de la partie ?</w:t>
      </w:r>
    </w:p>
    <w:p>
      <w:pPr>
        <w:pStyle w:val="Corpsdetexte"/>
        <w:numPr>
          <w:ilvl w:val="0"/>
          <w:numId w:val="6"/>
        </w:numPr>
        <w:rPr/>
      </w:pPr>
      <w:r>
        <w:rPr/>
        <w:t xml:space="preserve">Y avait-il d'autres actions possibles que tu as envisagées avant de prendre cette décision ? Pourquoi ne les as-tu pas choisies ? </w:t>
      </w:r>
    </w:p>
    <w:p>
      <w:pPr>
        <w:pStyle w:val="Corpsdetexte"/>
        <w:numPr>
          <w:ilvl w:val="0"/>
          <w:numId w:val="6"/>
        </w:numPr>
        <w:rPr/>
      </w:pPr>
      <w:r>
        <w:rPr/>
        <w:t xml:space="preserve">Si tu avais pu revenir en arrière, aurais-tu fait la même chose ? Pourquoi ou pourquoi pas ? </w:t>
      </w:r>
    </w:p>
    <w:p>
      <w:pPr>
        <w:pStyle w:val="Corpsdetexte"/>
        <w:numPr>
          <w:ilvl w:val="0"/>
          <w:numId w:val="6"/>
        </w:numPr>
        <w:rPr/>
      </w:pPr>
      <w:r>
        <w:rPr/>
        <w:t xml:space="preserve">Comment évaluais-tu les actions des autres joueurs ? T'inquiétais-tu de leurs stratégies ? </w:t>
      </w:r>
    </w:p>
    <w:p>
      <w:pPr>
        <w:pStyle w:val="Corpsdetexte"/>
        <w:numPr>
          <w:ilvl w:val="0"/>
          <w:numId w:val="6"/>
        </w:numPr>
        <w:rPr/>
      </w:pPr>
      <w:r>
        <w:rPr/>
        <w:t xml:space="preserve">Est-ce que les choix des autres joueurs ont influencé ta propre stratégie ? Si oui, comment ? </w:t>
      </w:r>
    </w:p>
    <w:p>
      <w:pPr>
        <w:pStyle w:val="Normal"/>
        <w:rPr/>
      </w:pPr>
      <w:r>
        <w:rPr/>
      </w:r>
    </w:p>
    <w:p>
      <w:pPr>
        <w:pStyle w:val="Normal"/>
        <w:rPr/>
      </w:pPr>
      <w:r>
        <w:rPr/>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24-10-07T16:55:16Z" w:initials="">
    <w:p>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fr-FR" w:eastAsia="en-US" w:bidi="ar-SA"/>
          <w14:ligatures w14:val="standardContextual"/>
        </w:rPr>
        <w:t>À voir avec Julien</w:t>
      </w:r>
    </w:p>
  </w:comment>
  <w:comment w:id="1" w:author="Auteur inconnu" w:date="2024-10-07T16:58:51Z" w:initials="">
    <w:p>
      <w:r>
        <w:rPr>
          <w:rFonts w:ascii="Aptos" w:hAnsi="Aptos" w:eastAsia="Aptos"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2"/>
          <w:u w:val="none"/>
          <w:vertAlign w:val="baseline"/>
          <w:em w:val="none"/>
          <w:lang w:val="fr-FR" w:eastAsia="en-US" w:bidi="ar-SA"/>
          <w14:ligatures w14:val="standardContextual"/>
        </w:rPr>
        <w:t>Pareil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 w:name="Aptos">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4"/>
      <w:numFmt w:val="lowerLetter"/>
      <w:lvlText w:val="%3."/>
      <w:lvlJc w:val="left"/>
      <w:pPr>
        <w:tabs>
          <w:tab w:val="num" w:pos="0"/>
        </w:tabs>
        <w:ind w:left="2160" w:hanging="360"/>
      </w:p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Titre1">
    <w:name w:val="Heading 1"/>
    <w:basedOn w:val="Normal"/>
    <w:next w:val="Normal"/>
    <w:link w:val="Titre1Car"/>
    <w:uiPriority w:val="9"/>
    <w:qFormat/>
    <w:rsid w:val="00b53058"/>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Titre2">
    <w:name w:val="Heading 2"/>
    <w:basedOn w:val="Normal"/>
    <w:next w:val="Normal"/>
    <w:link w:val="Titre2Car"/>
    <w:uiPriority w:val="9"/>
    <w:unhideWhenUsed/>
    <w:qFormat/>
    <w:rsid w:val="00b53058"/>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Titre3">
    <w:name w:val="Heading 3"/>
    <w:basedOn w:val="Normal"/>
    <w:next w:val="Normal"/>
    <w:link w:val="Titre3Car"/>
    <w:uiPriority w:val="9"/>
    <w:semiHidden/>
    <w:unhideWhenUsed/>
    <w:qFormat/>
    <w:rsid w:val="00b53058"/>
    <w:pPr>
      <w:keepNext w:val="true"/>
      <w:keepLines/>
      <w:spacing w:before="160" w:after="80"/>
      <w:outlineLvl w:val="2"/>
    </w:pPr>
    <w:rPr>
      <w:rFonts w:eastAsia="" w:cs="" w:cstheme="majorBidi" w:eastAsiaTheme="majorEastAsia"/>
      <w:color w:val="0F4761" w:themeColor="accent1" w:themeShade="bf"/>
      <w:sz w:val="28"/>
      <w:szCs w:val="28"/>
    </w:rPr>
  </w:style>
  <w:style w:type="paragraph" w:styleId="Titre4">
    <w:name w:val="Heading 4"/>
    <w:basedOn w:val="Normal"/>
    <w:next w:val="Normal"/>
    <w:link w:val="Titre4Car"/>
    <w:uiPriority w:val="9"/>
    <w:semiHidden/>
    <w:unhideWhenUsed/>
    <w:qFormat/>
    <w:rsid w:val="00b53058"/>
    <w:pPr>
      <w:keepNext w:val="true"/>
      <w:keepLines/>
      <w:spacing w:before="80" w:after="40"/>
      <w:outlineLvl w:val="3"/>
    </w:pPr>
    <w:rPr>
      <w:rFonts w:eastAsia="" w:cs="" w:cstheme="majorBidi" w:eastAsiaTheme="majorEastAsia"/>
      <w:i/>
      <w:iCs/>
      <w:color w:val="0F4761" w:themeColor="accent1" w:themeShade="bf"/>
    </w:rPr>
  </w:style>
  <w:style w:type="paragraph" w:styleId="Titre5">
    <w:name w:val="Heading 5"/>
    <w:basedOn w:val="Normal"/>
    <w:next w:val="Normal"/>
    <w:link w:val="Titre5Car"/>
    <w:uiPriority w:val="9"/>
    <w:semiHidden/>
    <w:unhideWhenUsed/>
    <w:qFormat/>
    <w:rsid w:val="00b53058"/>
    <w:pPr>
      <w:keepNext w:val="true"/>
      <w:keepLines/>
      <w:spacing w:before="80" w:after="40"/>
      <w:outlineLvl w:val="4"/>
    </w:pPr>
    <w:rPr>
      <w:rFonts w:eastAsia="" w:cs="" w:cstheme="majorBidi" w:eastAsiaTheme="majorEastAsia"/>
      <w:color w:val="0F4761" w:themeColor="accent1" w:themeShade="bf"/>
    </w:rPr>
  </w:style>
  <w:style w:type="paragraph" w:styleId="Titre6">
    <w:name w:val="Heading 6"/>
    <w:basedOn w:val="Normal"/>
    <w:next w:val="Normal"/>
    <w:link w:val="Titre6Car"/>
    <w:uiPriority w:val="9"/>
    <w:semiHidden/>
    <w:unhideWhenUsed/>
    <w:qFormat/>
    <w:rsid w:val="00b53058"/>
    <w:pPr>
      <w:keepNext w:val="true"/>
      <w:keepLines/>
      <w:spacing w:before="40" w:after="0"/>
      <w:outlineLvl w:val="5"/>
    </w:pPr>
    <w:rPr>
      <w:rFonts w:eastAsia="" w:cs="" w:cstheme="majorBidi" w:eastAsiaTheme="majorEastAsia"/>
      <w:i/>
      <w:iCs/>
      <w:color w:val="595959" w:themeColor="text1" w:themeTint="a6"/>
    </w:rPr>
  </w:style>
  <w:style w:type="paragraph" w:styleId="Titre7">
    <w:name w:val="Heading 7"/>
    <w:basedOn w:val="Normal"/>
    <w:next w:val="Normal"/>
    <w:link w:val="Titre7Car"/>
    <w:uiPriority w:val="9"/>
    <w:semiHidden/>
    <w:unhideWhenUsed/>
    <w:qFormat/>
    <w:rsid w:val="00b53058"/>
    <w:pPr>
      <w:keepNext w:val="true"/>
      <w:keepLines/>
      <w:spacing w:before="40" w:after="0"/>
      <w:outlineLvl w:val="6"/>
    </w:pPr>
    <w:rPr>
      <w:rFonts w:eastAsia="" w:cs="" w:cstheme="majorBidi" w:eastAsiaTheme="majorEastAsia"/>
      <w:color w:val="595959" w:themeColor="text1" w:themeTint="a6"/>
    </w:rPr>
  </w:style>
  <w:style w:type="paragraph" w:styleId="Titre8">
    <w:name w:val="Heading 8"/>
    <w:basedOn w:val="Normal"/>
    <w:next w:val="Normal"/>
    <w:link w:val="Titre8Car"/>
    <w:uiPriority w:val="9"/>
    <w:semiHidden/>
    <w:unhideWhenUsed/>
    <w:qFormat/>
    <w:rsid w:val="00b53058"/>
    <w:pPr>
      <w:keepNext w:val="true"/>
      <w:keepLines/>
      <w:spacing w:before="0" w:after="0"/>
      <w:outlineLvl w:val="7"/>
    </w:pPr>
    <w:rPr>
      <w:rFonts w:eastAsia="" w:cs="" w:cstheme="majorBidi" w:eastAsiaTheme="majorEastAsia"/>
      <w:i/>
      <w:iCs/>
      <w:color w:val="272727" w:themeColor="text1" w:themeTint="d8"/>
    </w:rPr>
  </w:style>
  <w:style w:type="paragraph" w:styleId="Titre9">
    <w:name w:val="Heading 9"/>
    <w:basedOn w:val="Normal"/>
    <w:next w:val="Normal"/>
    <w:link w:val="Titre9Car"/>
    <w:uiPriority w:val="9"/>
    <w:semiHidden/>
    <w:unhideWhenUsed/>
    <w:qFormat/>
    <w:rsid w:val="00b5305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Titre1"/>
    <w:uiPriority w:val="9"/>
    <w:qFormat/>
    <w:rsid w:val="00b53058"/>
    <w:rPr>
      <w:rFonts w:ascii="Aptos Display" w:hAnsi="Aptos Display" w:eastAsia="" w:cs="" w:asciiTheme="majorHAnsi" w:cstheme="majorBidi" w:eastAsiaTheme="majorEastAsia" w:hAnsiTheme="majorHAnsi"/>
      <w:color w:val="0F4761" w:themeColor="accent1" w:themeShade="bf"/>
      <w:sz w:val="40"/>
      <w:szCs w:val="40"/>
    </w:rPr>
  </w:style>
  <w:style w:type="character" w:styleId="Titre2Car" w:customStyle="1">
    <w:name w:val="Titre 2 Car"/>
    <w:basedOn w:val="DefaultParagraphFont"/>
    <w:link w:val="Titre2"/>
    <w:uiPriority w:val="9"/>
    <w:qFormat/>
    <w:rsid w:val="00b53058"/>
    <w:rPr>
      <w:rFonts w:ascii="Aptos Display" w:hAnsi="Aptos Display" w:eastAsia="" w:cs="" w:asciiTheme="majorHAnsi" w:cstheme="majorBidi" w:eastAsiaTheme="majorEastAsia" w:hAnsiTheme="majorHAnsi"/>
      <w:color w:val="0F4761" w:themeColor="accent1" w:themeShade="bf"/>
      <w:sz w:val="32"/>
      <w:szCs w:val="32"/>
    </w:rPr>
  </w:style>
  <w:style w:type="character" w:styleId="Titre3Car" w:customStyle="1">
    <w:name w:val="Titre 3 Car"/>
    <w:basedOn w:val="DefaultParagraphFont"/>
    <w:link w:val="Titre3"/>
    <w:uiPriority w:val="9"/>
    <w:semiHidden/>
    <w:qFormat/>
    <w:rsid w:val="00b53058"/>
    <w:rPr>
      <w:rFonts w:eastAsia="" w:cs="" w:cstheme="majorBidi" w:eastAsiaTheme="majorEastAsia"/>
      <w:color w:val="0F4761" w:themeColor="accent1" w:themeShade="bf"/>
      <w:sz w:val="28"/>
      <w:szCs w:val="28"/>
    </w:rPr>
  </w:style>
  <w:style w:type="character" w:styleId="Titre4Car" w:customStyle="1">
    <w:name w:val="Titre 4 Car"/>
    <w:basedOn w:val="DefaultParagraphFont"/>
    <w:link w:val="Titre4"/>
    <w:uiPriority w:val="9"/>
    <w:semiHidden/>
    <w:qFormat/>
    <w:rsid w:val="00b53058"/>
    <w:rPr>
      <w:rFonts w:eastAsia="" w:cs="" w:cstheme="majorBidi" w:eastAsiaTheme="majorEastAsia"/>
      <w:i/>
      <w:iCs/>
      <w:color w:val="0F4761" w:themeColor="accent1" w:themeShade="bf"/>
    </w:rPr>
  </w:style>
  <w:style w:type="character" w:styleId="Titre5Car" w:customStyle="1">
    <w:name w:val="Titre 5 Car"/>
    <w:basedOn w:val="DefaultParagraphFont"/>
    <w:link w:val="Titre5"/>
    <w:uiPriority w:val="9"/>
    <w:semiHidden/>
    <w:qFormat/>
    <w:rsid w:val="00b53058"/>
    <w:rPr>
      <w:rFonts w:eastAsia="" w:cs="" w:cstheme="majorBidi" w:eastAsiaTheme="majorEastAsia"/>
      <w:color w:val="0F4761" w:themeColor="accent1" w:themeShade="bf"/>
    </w:rPr>
  </w:style>
  <w:style w:type="character" w:styleId="Titre6Car" w:customStyle="1">
    <w:name w:val="Titre 6 Car"/>
    <w:basedOn w:val="DefaultParagraphFont"/>
    <w:link w:val="Titre6"/>
    <w:uiPriority w:val="9"/>
    <w:semiHidden/>
    <w:qFormat/>
    <w:rsid w:val="00b53058"/>
    <w:rPr>
      <w:rFonts w:eastAsia="" w:cs="" w:cstheme="majorBidi" w:eastAsiaTheme="majorEastAsia"/>
      <w:i/>
      <w:iCs/>
      <w:color w:val="595959" w:themeColor="text1" w:themeTint="a6"/>
    </w:rPr>
  </w:style>
  <w:style w:type="character" w:styleId="Titre7Car" w:customStyle="1">
    <w:name w:val="Titre 7 Car"/>
    <w:basedOn w:val="DefaultParagraphFont"/>
    <w:link w:val="Titre7"/>
    <w:uiPriority w:val="9"/>
    <w:semiHidden/>
    <w:qFormat/>
    <w:rsid w:val="00b53058"/>
    <w:rPr>
      <w:rFonts w:eastAsia="" w:cs="" w:cstheme="majorBidi" w:eastAsiaTheme="majorEastAsia"/>
      <w:color w:val="595959" w:themeColor="text1" w:themeTint="a6"/>
    </w:rPr>
  </w:style>
  <w:style w:type="character" w:styleId="Titre8Car" w:customStyle="1">
    <w:name w:val="Titre 8 Car"/>
    <w:basedOn w:val="DefaultParagraphFont"/>
    <w:link w:val="Titre8"/>
    <w:uiPriority w:val="9"/>
    <w:semiHidden/>
    <w:qFormat/>
    <w:rsid w:val="00b53058"/>
    <w:rPr>
      <w:rFonts w:eastAsia="" w:cs="" w:cstheme="majorBidi" w:eastAsiaTheme="majorEastAsia"/>
      <w:i/>
      <w:iCs/>
      <w:color w:val="272727" w:themeColor="text1" w:themeTint="d8"/>
    </w:rPr>
  </w:style>
  <w:style w:type="character" w:styleId="Titre9Car" w:customStyle="1">
    <w:name w:val="Titre 9 Car"/>
    <w:basedOn w:val="DefaultParagraphFont"/>
    <w:link w:val="Titre9"/>
    <w:uiPriority w:val="9"/>
    <w:semiHidden/>
    <w:qFormat/>
    <w:rsid w:val="00b53058"/>
    <w:rPr>
      <w:rFonts w:eastAsia="" w:cs="" w:cstheme="majorBidi" w:eastAsiaTheme="majorEastAsia"/>
      <w:color w:val="272727" w:themeColor="text1" w:themeTint="d8"/>
    </w:rPr>
  </w:style>
  <w:style w:type="character" w:styleId="TitreCar" w:customStyle="1">
    <w:name w:val="Titre Car"/>
    <w:basedOn w:val="DefaultParagraphFont"/>
    <w:link w:val="Titre"/>
    <w:uiPriority w:val="10"/>
    <w:qFormat/>
    <w:rsid w:val="00b53058"/>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link w:val="Sous-titre"/>
    <w:uiPriority w:val="11"/>
    <w:qFormat/>
    <w:rsid w:val="00b53058"/>
    <w:rPr>
      <w:rFonts w:eastAsia="" w:cs="" w:cstheme="majorBidi" w:eastAsiaTheme="majorEastAsia"/>
      <w:color w:val="595959" w:themeColor="text1" w:themeTint="a6"/>
      <w:spacing w:val="15"/>
      <w:sz w:val="28"/>
      <w:szCs w:val="28"/>
    </w:rPr>
  </w:style>
  <w:style w:type="character" w:styleId="CitationCar" w:customStyle="1">
    <w:name w:val="Citation Car"/>
    <w:basedOn w:val="DefaultParagraphFont"/>
    <w:link w:val="Citation"/>
    <w:uiPriority w:val="29"/>
    <w:qFormat/>
    <w:rsid w:val="00b53058"/>
    <w:rPr>
      <w:i/>
      <w:iCs/>
      <w:color w:val="404040" w:themeColor="text1" w:themeTint="bf"/>
    </w:rPr>
  </w:style>
  <w:style w:type="character" w:styleId="IntenseEmphasis">
    <w:name w:val="Intense Emphasis"/>
    <w:basedOn w:val="DefaultParagraphFont"/>
    <w:uiPriority w:val="21"/>
    <w:qFormat/>
    <w:rsid w:val="00b53058"/>
    <w:rPr>
      <w:i/>
      <w:iCs/>
      <w:color w:val="0F4761" w:themeColor="accent1" w:themeShade="bf"/>
    </w:rPr>
  </w:style>
  <w:style w:type="character" w:styleId="CitationintenseCar" w:customStyle="1">
    <w:name w:val="Citation intense Car"/>
    <w:basedOn w:val="DefaultParagraphFont"/>
    <w:link w:val="Citationintense"/>
    <w:uiPriority w:val="30"/>
    <w:qFormat/>
    <w:rsid w:val="00b53058"/>
    <w:rPr>
      <w:i/>
      <w:iCs/>
      <w:color w:val="0F4761" w:themeColor="accent1" w:themeShade="bf"/>
    </w:rPr>
  </w:style>
  <w:style w:type="character" w:styleId="IntenseReference">
    <w:name w:val="Intense Reference"/>
    <w:basedOn w:val="DefaultParagraphFont"/>
    <w:uiPriority w:val="32"/>
    <w:qFormat/>
    <w:rsid w:val="00b53058"/>
    <w:rPr>
      <w:b/>
      <w:bCs/>
      <w:smallCaps/>
      <w:color w:val="0F4761" w:themeColor="accent1" w:themeShade="bf"/>
      <w:spacing w:val="5"/>
    </w:rPr>
  </w:style>
  <w:style w:type="character" w:styleId="LienInternet">
    <w:name w:val="Lien Internet"/>
    <w:rPr>
      <w:color w:val="000080"/>
      <w:u w:val="single"/>
      <w:lang w:val="zxx" w:eastAsia="zxx" w:bidi="zxx"/>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Arial" w:hAnsi="Arial"/>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principal">
    <w:name w:val="Title"/>
    <w:basedOn w:val="Normal"/>
    <w:next w:val="Normal"/>
    <w:link w:val="TitreCar"/>
    <w:uiPriority w:val="10"/>
    <w:qFormat/>
    <w:rsid w:val="00b5305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oustitre">
    <w:name w:val="Subtitle"/>
    <w:basedOn w:val="Normal"/>
    <w:next w:val="Normal"/>
    <w:link w:val="Sous-titreCar"/>
    <w:uiPriority w:val="11"/>
    <w:qFormat/>
    <w:rsid w:val="00b53058"/>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tionCar"/>
    <w:uiPriority w:val="29"/>
    <w:qFormat/>
    <w:rsid w:val="00b53058"/>
    <w:pPr>
      <w:spacing w:before="160" w:after="160"/>
      <w:jc w:val="center"/>
    </w:pPr>
    <w:rPr>
      <w:i/>
      <w:iCs/>
      <w:color w:val="404040" w:themeColor="text1" w:themeTint="bf"/>
    </w:rPr>
  </w:style>
  <w:style w:type="paragraph" w:styleId="ListParagraph">
    <w:name w:val="List Paragraph"/>
    <w:basedOn w:val="Normal"/>
    <w:uiPriority w:val="34"/>
    <w:qFormat/>
    <w:rsid w:val="00b53058"/>
    <w:pPr>
      <w:spacing w:before="0" w:after="160"/>
      <w:ind w:left="720" w:hanging="0"/>
      <w:contextualSpacing/>
    </w:pPr>
    <w:rPr/>
  </w:style>
  <w:style w:type="paragraph" w:styleId="IntenseQuote">
    <w:name w:val="Intense Quote"/>
    <w:basedOn w:val="Normal"/>
    <w:next w:val="Normal"/>
    <w:link w:val="CitationintenseCar"/>
    <w:uiPriority w:val="30"/>
    <w:qFormat/>
    <w:rsid w:val="00b53058"/>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ac65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LibreOffice/7.0.4.2$Windows_X86_64 LibreOffice_project/dcf040e67528d9187c66b2379df5ea4407429775</Application>
  <AppVersion>15.0000</AppVersion>
  <Pages>4</Pages>
  <Words>1003</Words>
  <Characters>5604</Characters>
  <CharactersWithSpaces>6493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2024-10-06T08:02:00Z</dcterms:created>
  <dc:creator>Lucie Della-Negra</dc:creator>
  <dc:description/>
  <dc:language>fr-FR</dc:language>
  <cp:lastModifiedBy/>
  <dcterms:modified xsi:type="dcterms:W3CDTF">2024-10-07T17:21:11Z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