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A7951" w14:textId="18C6B0E6" w:rsidR="000B11D8" w:rsidRDefault="00284E8D" w:rsidP="007A1EE3">
      <w:pPr>
        <w:pStyle w:val="Heading1"/>
        <w:rPr>
          <w:lang w:val="en-US"/>
        </w:rPr>
      </w:pPr>
      <w:r w:rsidRPr="007A1EE3">
        <w:rPr>
          <w:lang w:val="en-US"/>
        </w:rPr>
        <w:t>Practical Task 1</w:t>
      </w:r>
    </w:p>
    <w:p w14:paraId="09C9EDF7" w14:textId="60D3531A" w:rsidR="00FB6474" w:rsidRPr="00FB6474" w:rsidRDefault="00FB6474" w:rsidP="00FB6474">
      <w:pPr>
        <w:pStyle w:val="Heading2"/>
        <w:rPr>
          <w:lang w:val="en-US"/>
        </w:rPr>
      </w:pPr>
      <w:r>
        <w:rPr>
          <w:lang w:val="en-US"/>
        </w:rPr>
        <w:t>Question 1</w:t>
      </w:r>
    </w:p>
    <w:p w14:paraId="0E84C335" w14:textId="552C12EB" w:rsidR="00284E8D" w:rsidRDefault="00284E8D" w:rsidP="00284E8D">
      <w:pPr>
        <w:pStyle w:val="ListParagraph"/>
        <w:numPr>
          <w:ilvl w:val="0"/>
          <w:numId w:val="1"/>
        </w:numPr>
        <w:rPr>
          <w:lang w:val="en-US"/>
        </w:rPr>
      </w:pPr>
      <w:r>
        <w:rPr>
          <w:lang w:val="en-US"/>
        </w:rPr>
        <w:t>Costa Rica, Belgium and Denmark</w:t>
      </w:r>
    </w:p>
    <w:p w14:paraId="792B27CA" w14:textId="37968EFD" w:rsidR="00284E8D" w:rsidRDefault="00284E8D" w:rsidP="00284E8D">
      <w:pPr>
        <w:pStyle w:val="ListParagraph"/>
        <w:numPr>
          <w:ilvl w:val="0"/>
          <w:numId w:val="1"/>
        </w:numPr>
        <w:rPr>
          <w:lang w:val="en-US"/>
        </w:rPr>
      </w:pPr>
      <w:r>
        <w:rPr>
          <w:lang w:val="en-US"/>
        </w:rPr>
        <w:t>Chile, Japan, Korea</w:t>
      </w:r>
    </w:p>
    <w:p w14:paraId="4005D58C" w14:textId="023E68F3" w:rsidR="00284E8D" w:rsidRPr="007A1EE3" w:rsidRDefault="00284E8D" w:rsidP="00284E8D">
      <w:pPr>
        <w:pStyle w:val="ListParagraph"/>
        <w:numPr>
          <w:ilvl w:val="0"/>
          <w:numId w:val="1"/>
        </w:numPr>
        <w:rPr>
          <w:lang w:val="en-US"/>
        </w:rPr>
      </w:pPr>
      <w:r w:rsidRPr="00284E8D">
        <w:rPr>
          <w:lang w:val="en-US"/>
        </w:rPr>
        <w:t xml:space="preserve">There are multiple reasons for smaller gap in wages between genders in Costa Rica, some are a result of Government commitment in </w:t>
      </w:r>
      <w:r w:rsidR="00423325" w:rsidRPr="00284E8D">
        <w:rPr>
          <w:lang w:val="en-US"/>
        </w:rPr>
        <w:t>2015</w:t>
      </w:r>
      <w:r w:rsidR="00423325">
        <w:rPr>
          <w:lang w:val="en-US"/>
        </w:rPr>
        <w:t>; publicly</w:t>
      </w:r>
      <w:r>
        <w:t xml:space="preserve"> committed to the UN’s Sustainable Development Goal on gender equality, including shared caregiving and workplace equality.</w:t>
      </w:r>
      <w:r>
        <w:t xml:space="preserve"> In </w:t>
      </w:r>
      <w:r w:rsidR="007A1EE3">
        <w:t>addition, Equal</w:t>
      </w:r>
      <w:r w:rsidRPr="00284E8D">
        <w:rPr>
          <w:b/>
          <w:bCs/>
        </w:rPr>
        <w:t xml:space="preserve"> Pay &amp; Anti-Discrimination Laws</w:t>
      </w:r>
      <w:r>
        <w:t>, which requires</w:t>
      </w:r>
      <w:r w:rsidRPr="00284E8D">
        <w:t xml:space="preserve"> equal pay for equal work and bans gender discrimination in hiring, promotion, and termination.</w:t>
      </w:r>
      <w:r>
        <w:t xml:space="preserve"> Also</w:t>
      </w:r>
      <w:r w:rsidR="007A1EE3">
        <w:t>,</w:t>
      </w:r>
      <w:r>
        <w:t xml:space="preserve"> data transparency law </w:t>
      </w:r>
      <w:r w:rsidR="00421101">
        <w:t>was passed</w:t>
      </w:r>
      <w:r>
        <w:t xml:space="preserve"> to measure unpaid female domestic workers, which would now be visible and would make their contributions visible in economic stats.</w:t>
      </w:r>
    </w:p>
    <w:p w14:paraId="7B619400" w14:textId="082739DA" w:rsidR="00FB6474" w:rsidRDefault="00FB6474" w:rsidP="00FB6474">
      <w:pPr>
        <w:pStyle w:val="Heading2"/>
        <w:rPr>
          <w:lang w:val="en-US"/>
        </w:rPr>
      </w:pPr>
      <w:r>
        <w:rPr>
          <w:lang w:val="en-US"/>
        </w:rPr>
        <w:t>Question 2</w:t>
      </w:r>
    </w:p>
    <w:p w14:paraId="18B307F4" w14:textId="32ABD196" w:rsidR="00FB6474" w:rsidRDefault="00FB6474" w:rsidP="00FB6474">
      <w:pPr>
        <w:pStyle w:val="ListParagraph"/>
        <w:numPr>
          <w:ilvl w:val="0"/>
          <w:numId w:val="3"/>
        </w:numPr>
        <w:rPr>
          <w:lang w:val="en-US"/>
        </w:rPr>
      </w:pPr>
      <w:r>
        <w:rPr>
          <w:lang w:val="en-US"/>
        </w:rPr>
        <w:t xml:space="preserve">The </w:t>
      </w:r>
      <w:r w:rsidR="003B5717">
        <w:rPr>
          <w:lang w:val="en-US"/>
        </w:rPr>
        <w:t>sales</w:t>
      </w:r>
      <w:r>
        <w:rPr>
          <w:lang w:val="en-US"/>
        </w:rPr>
        <w:t xml:space="preserve"> of isopropanol spiked in March 2020. Supply and demand, the world in general demanded more isopropanol, supply couldn’t keep up with the demand creating shortages, hence the increase in the chart.</w:t>
      </w:r>
    </w:p>
    <w:p w14:paraId="4214BFAB" w14:textId="7383DB32" w:rsidR="003B5717" w:rsidRDefault="003B5717" w:rsidP="00FB6474">
      <w:pPr>
        <w:pStyle w:val="ListParagraph"/>
        <w:numPr>
          <w:ilvl w:val="0"/>
          <w:numId w:val="3"/>
        </w:numPr>
        <w:rPr>
          <w:lang w:val="en-US"/>
        </w:rPr>
      </w:pPr>
      <w:r>
        <w:rPr>
          <w:lang w:val="en-US"/>
        </w:rPr>
        <w:t>Covid was in full effect at this point with most countries going into lockdown.</w:t>
      </w:r>
    </w:p>
    <w:p w14:paraId="7EDEC622" w14:textId="20D44E02" w:rsidR="00421101" w:rsidRDefault="00421101" w:rsidP="00421101">
      <w:pPr>
        <w:pStyle w:val="Heading2"/>
      </w:pPr>
      <w:r>
        <w:t>Question 3</w:t>
      </w:r>
    </w:p>
    <w:p w14:paraId="28706E2F" w14:textId="2909632C" w:rsidR="006C0650" w:rsidRPr="006C0650" w:rsidRDefault="006C0650" w:rsidP="006C0650">
      <w:pPr>
        <w:pStyle w:val="ListParagraph"/>
        <w:numPr>
          <w:ilvl w:val="0"/>
          <w:numId w:val="4"/>
        </w:numPr>
      </w:pPr>
      <w:r w:rsidRPr="006C0650">
        <w:t>The bubble plot shows a positive relationship between GDP per capita and CO₂ emissions per person. As income rises, emissions per person generally increase, though the curve flattens at very high GDP levels</w:t>
      </w:r>
      <w:r w:rsidR="00BA0627">
        <w:t>.</w:t>
      </w:r>
    </w:p>
    <w:p w14:paraId="7C3FBF69" w14:textId="5247FE35" w:rsidR="006C0650" w:rsidRPr="006C0650" w:rsidRDefault="006C0650" w:rsidP="006C0650">
      <w:pPr>
        <w:pStyle w:val="ListParagraph"/>
        <w:numPr>
          <w:ilvl w:val="0"/>
          <w:numId w:val="4"/>
        </w:numPr>
      </w:pPr>
      <w:r w:rsidRPr="006C0650">
        <w:rPr>
          <w:b/>
          <w:bCs/>
        </w:rPr>
        <w:t>Africa</w:t>
      </w:r>
      <w:r w:rsidRPr="006C0650">
        <w:t xml:space="preserve"> sits in the lower-left corner, with low GDP per capita and very low emissions per person, </w:t>
      </w:r>
      <w:r w:rsidR="00BA0627">
        <w:t>lower</w:t>
      </w:r>
      <w:r w:rsidRPr="006C0650">
        <w:t xml:space="preserve"> energy use.</w:t>
      </w:r>
      <w:r w:rsidR="00BA0627">
        <w:t xml:space="preserve"> South Africa was forced to into load shedding for many years, which could also be a contributor to this lower CO2 emissions.</w:t>
      </w:r>
    </w:p>
    <w:p w14:paraId="349F2425" w14:textId="77777777" w:rsidR="006C0650" w:rsidRPr="006C0650" w:rsidRDefault="006C0650" w:rsidP="006C0650">
      <w:pPr>
        <w:pStyle w:val="ListParagraph"/>
        <w:numPr>
          <w:ilvl w:val="0"/>
          <w:numId w:val="4"/>
        </w:numPr>
      </w:pPr>
      <w:r w:rsidRPr="006C0650">
        <w:rPr>
          <w:b/>
          <w:bCs/>
        </w:rPr>
        <w:t>Asia</w:t>
      </w:r>
      <w:r w:rsidRPr="006C0650">
        <w:t xml:space="preserve"> spans a wide range. Large countries like China and India have medium GDP per capita but relatively high emissions, and their large populations contribute significantly to global totals. Wealthy Asian nations (Japan, South Korea) are near the upper-right, combining high GDP and emissions.</w:t>
      </w:r>
    </w:p>
    <w:p w14:paraId="583A62CD" w14:textId="77777777" w:rsidR="006C0650" w:rsidRPr="006C0650" w:rsidRDefault="006C0650" w:rsidP="006C0650">
      <w:pPr>
        <w:pStyle w:val="ListParagraph"/>
        <w:numPr>
          <w:ilvl w:val="0"/>
          <w:numId w:val="4"/>
        </w:numPr>
      </w:pPr>
      <w:r w:rsidRPr="006C0650">
        <w:rPr>
          <w:b/>
          <w:bCs/>
        </w:rPr>
        <w:t>Europe</w:t>
      </w:r>
      <w:r w:rsidRPr="006C0650">
        <w:t xml:space="preserve"> shows high GDP per capita but somewhat lower emissions relative to wealth, likely due to stricter environmental policies and efficient energy use.</w:t>
      </w:r>
    </w:p>
    <w:p w14:paraId="52ED37A0" w14:textId="77777777" w:rsidR="006C0650" w:rsidRPr="006C0650" w:rsidRDefault="006C0650" w:rsidP="006C0650">
      <w:pPr>
        <w:pStyle w:val="ListParagraph"/>
        <w:numPr>
          <w:ilvl w:val="0"/>
          <w:numId w:val="4"/>
        </w:numPr>
      </w:pPr>
      <w:r w:rsidRPr="006C0650">
        <w:rPr>
          <w:b/>
          <w:bCs/>
        </w:rPr>
        <w:t>Americas</w:t>
      </w:r>
      <w:r w:rsidRPr="006C0650">
        <w:t xml:space="preserve"> are split: North America (US, Canada) has very high emissions per person, while Latin American countries cluster at mid-GDP levels with lower emissions.</w:t>
      </w:r>
    </w:p>
    <w:p w14:paraId="717BD734" w14:textId="348D25E4" w:rsidR="006C0650" w:rsidRPr="006C0650" w:rsidRDefault="006C0650" w:rsidP="006C0650">
      <w:pPr>
        <w:pStyle w:val="ListParagraph"/>
        <w:numPr>
          <w:ilvl w:val="0"/>
          <w:numId w:val="4"/>
        </w:numPr>
      </w:pPr>
      <w:r w:rsidRPr="006C0650">
        <w:rPr>
          <w:b/>
          <w:bCs/>
        </w:rPr>
        <w:t>Oceania</w:t>
      </w:r>
      <w:r w:rsidRPr="006C0650">
        <w:t xml:space="preserve"> (Australia, New Zealand) shows some of the highest emissions per person for their income levels due to resource-intensive industries</w:t>
      </w:r>
    </w:p>
    <w:p w14:paraId="0CA554FB" w14:textId="77777777" w:rsidR="0008282D" w:rsidRDefault="0008282D" w:rsidP="000128A9">
      <w:pPr>
        <w:pStyle w:val="ListParagraph"/>
      </w:pPr>
    </w:p>
    <w:p w14:paraId="48963094" w14:textId="77777777" w:rsidR="0008282D" w:rsidRDefault="0008282D" w:rsidP="000128A9">
      <w:pPr>
        <w:pStyle w:val="ListParagraph"/>
      </w:pPr>
    </w:p>
    <w:p w14:paraId="599F42D7" w14:textId="2A7F5C8C" w:rsidR="0008282D" w:rsidRDefault="0008282D" w:rsidP="0008282D">
      <w:pPr>
        <w:pStyle w:val="Heading1"/>
      </w:pPr>
      <w:r>
        <w:t>Practical Task 2</w:t>
      </w:r>
    </w:p>
    <w:p w14:paraId="42FBEA72" w14:textId="77777777" w:rsidR="005C28CA" w:rsidRDefault="005C28CA" w:rsidP="0008282D">
      <w:pPr>
        <w:pStyle w:val="ListParagraph"/>
        <w:numPr>
          <w:ilvl w:val="0"/>
          <w:numId w:val="5"/>
        </w:numPr>
      </w:pPr>
      <w:r w:rsidRPr="005C28CA">
        <w:t xml:space="preserve">The diagonal shows </w:t>
      </w:r>
      <w:r w:rsidRPr="005C28CA">
        <w:rPr>
          <w:b/>
          <w:bCs/>
        </w:rPr>
        <w:t>histograms</w:t>
      </w:r>
      <w:r w:rsidRPr="005C28CA">
        <w:t xml:space="preserve"> (distributions) of each individual variable. For example, the first top-left plot shows the distribution of </w:t>
      </w:r>
      <w:r w:rsidRPr="005C28CA">
        <w:rPr>
          <w:i/>
          <w:iCs/>
        </w:rPr>
        <w:t>Size of Living Area</w:t>
      </w:r>
      <w:r w:rsidRPr="005C28CA">
        <w:t xml:space="preserve">, while the bottom-right </w:t>
      </w:r>
      <w:r w:rsidRPr="005C28CA">
        <w:lastRenderedPageBreak/>
        <w:t xml:space="preserve">shows the distribution of </w:t>
      </w:r>
      <w:r w:rsidRPr="005C28CA">
        <w:rPr>
          <w:i/>
          <w:iCs/>
        </w:rPr>
        <w:t>Sale Price</w:t>
      </w:r>
      <w:r w:rsidRPr="005C28CA">
        <w:t>. These are not scatterplots but frequency plots of each variable with itself.</w:t>
      </w:r>
    </w:p>
    <w:p w14:paraId="3F16D905" w14:textId="716FE16E" w:rsidR="0008282D" w:rsidRDefault="0008282D" w:rsidP="0008282D">
      <w:pPr>
        <w:pStyle w:val="ListParagraph"/>
        <w:numPr>
          <w:ilvl w:val="0"/>
          <w:numId w:val="5"/>
        </w:numPr>
      </w:pPr>
      <w:r>
        <w:t>Most garages are smaller than 1000</w:t>
      </w:r>
      <w:r w:rsidR="005C28CA" w:rsidRPr="005C28CA">
        <w:t xml:space="preserve"> </w:t>
      </w:r>
      <w:r w:rsidR="005C28CA">
        <w:t>ft^</w:t>
      </w:r>
      <w:r w:rsidR="005C28CA" w:rsidRPr="005C28CA">
        <w:rPr>
          <w:vertAlign w:val="superscript"/>
        </w:rPr>
        <w:t>2</w:t>
      </w:r>
      <w:r w:rsidR="005C28CA">
        <w:t xml:space="preserve"> with highest concentration between 500 – 750 ft^</w:t>
      </w:r>
      <w:r w:rsidR="005C28CA" w:rsidRPr="005C28CA">
        <w:rPr>
          <w:vertAlign w:val="superscript"/>
        </w:rPr>
        <w:t>2</w:t>
      </w:r>
    </w:p>
    <w:p w14:paraId="0711D4E8" w14:textId="77777777" w:rsidR="005C28CA" w:rsidRDefault="005C28CA" w:rsidP="0008282D">
      <w:pPr>
        <w:pStyle w:val="ListParagraph"/>
        <w:numPr>
          <w:ilvl w:val="0"/>
          <w:numId w:val="5"/>
        </w:numPr>
      </w:pPr>
      <w:r w:rsidRPr="005C28CA">
        <w:t xml:space="preserve">The scatterplot of </w:t>
      </w:r>
      <w:r w:rsidRPr="005C28CA">
        <w:rPr>
          <w:i/>
          <w:iCs/>
        </w:rPr>
        <w:t>Year House was Built</w:t>
      </w:r>
      <w:r w:rsidRPr="005C28CA">
        <w:t xml:space="preserve"> vs </w:t>
      </w:r>
      <w:r w:rsidRPr="005C28CA">
        <w:rPr>
          <w:i/>
          <w:iCs/>
        </w:rPr>
        <w:t>Sale Price</w:t>
      </w:r>
      <w:r w:rsidRPr="005C28CA">
        <w:t xml:space="preserve"> shows higher-priced homes clustered in more recent years.</w:t>
      </w:r>
    </w:p>
    <w:p w14:paraId="36DB0443" w14:textId="496354A7" w:rsidR="0008282D" w:rsidRDefault="001334F0" w:rsidP="0008282D">
      <w:pPr>
        <w:pStyle w:val="ListParagraph"/>
        <w:numPr>
          <w:ilvl w:val="0"/>
          <w:numId w:val="5"/>
        </w:numPr>
      </w:pPr>
      <w:r>
        <w:t>Positive correlation between sales of house and size of living area, as the living areas increase, so does the sale price</w:t>
      </w:r>
      <w:r w:rsidR="005C28CA">
        <w:t>, which can be seen from the scatter plot of Sales price vs Size of living area. There are few outliers, where this doesn’t hold true but this could be a result of  location or other factors.</w:t>
      </w:r>
    </w:p>
    <w:p w14:paraId="6666A32F" w14:textId="77777777" w:rsidR="002768A1" w:rsidRDefault="002768A1" w:rsidP="002768A1"/>
    <w:p w14:paraId="133A6099" w14:textId="3229477A" w:rsidR="002768A1" w:rsidRDefault="002768A1" w:rsidP="002768A1">
      <w:r>
        <w:t>References</w:t>
      </w:r>
    </w:p>
    <w:p w14:paraId="2A283A8C" w14:textId="77196816" w:rsidR="002768A1" w:rsidRPr="0008282D" w:rsidRDefault="002768A1" w:rsidP="002768A1">
      <w:pPr>
        <w:pStyle w:val="ListParagraph"/>
        <w:numPr>
          <w:ilvl w:val="0"/>
          <w:numId w:val="6"/>
        </w:numPr>
      </w:pPr>
      <w:r w:rsidRPr="002768A1">
        <w:t>chrome-extension://efaidnbmnnnibpcajpcglclefindmkaj/https://www.oecd.org/content/dam/oecd/en/publications/reports/2024/07/gender-equality-in-costa-rica_06ebece0/a25e8f8a-en.pdf</w:t>
      </w:r>
    </w:p>
    <w:sectPr w:rsidR="002768A1" w:rsidRPr="000828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226AE"/>
    <w:multiLevelType w:val="hybridMultilevel"/>
    <w:tmpl w:val="31DC468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D38051F"/>
    <w:multiLevelType w:val="hybridMultilevel"/>
    <w:tmpl w:val="61102A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5797EA7"/>
    <w:multiLevelType w:val="hybridMultilevel"/>
    <w:tmpl w:val="365828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4BB2228D"/>
    <w:multiLevelType w:val="hybridMultilevel"/>
    <w:tmpl w:val="604CA08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5C25392C"/>
    <w:multiLevelType w:val="hybridMultilevel"/>
    <w:tmpl w:val="0AF267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6FC244F5"/>
    <w:multiLevelType w:val="hybridMultilevel"/>
    <w:tmpl w:val="A22889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373385655">
    <w:abstractNumId w:val="5"/>
  </w:num>
  <w:num w:numId="2" w16cid:durableId="1778021219">
    <w:abstractNumId w:val="4"/>
  </w:num>
  <w:num w:numId="3" w16cid:durableId="64229496">
    <w:abstractNumId w:val="0"/>
  </w:num>
  <w:num w:numId="4" w16cid:durableId="187068121">
    <w:abstractNumId w:val="3"/>
  </w:num>
  <w:num w:numId="5" w16cid:durableId="1008827795">
    <w:abstractNumId w:val="2"/>
  </w:num>
  <w:num w:numId="6" w16cid:durableId="4915322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78D"/>
    <w:rsid w:val="000128A9"/>
    <w:rsid w:val="0008282D"/>
    <w:rsid w:val="000B11D8"/>
    <w:rsid w:val="001334F0"/>
    <w:rsid w:val="001754A7"/>
    <w:rsid w:val="002768A1"/>
    <w:rsid w:val="00284E8D"/>
    <w:rsid w:val="003B5717"/>
    <w:rsid w:val="00421101"/>
    <w:rsid w:val="00423325"/>
    <w:rsid w:val="005C28CA"/>
    <w:rsid w:val="006C0650"/>
    <w:rsid w:val="007A1EE3"/>
    <w:rsid w:val="00844CAF"/>
    <w:rsid w:val="00BA0627"/>
    <w:rsid w:val="00E9478D"/>
    <w:rsid w:val="00FB647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9FBE6"/>
  <w15:chartTrackingRefBased/>
  <w15:docId w15:val="{1A64FA6A-74E2-4509-B3D8-B55545247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7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47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47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47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47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4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7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47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47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47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47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4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78D"/>
    <w:rPr>
      <w:rFonts w:eastAsiaTheme="majorEastAsia" w:cstheme="majorBidi"/>
      <w:color w:val="272727" w:themeColor="text1" w:themeTint="D8"/>
    </w:rPr>
  </w:style>
  <w:style w:type="paragraph" w:styleId="Title">
    <w:name w:val="Title"/>
    <w:basedOn w:val="Normal"/>
    <w:next w:val="Normal"/>
    <w:link w:val="TitleChar"/>
    <w:uiPriority w:val="10"/>
    <w:qFormat/>
    <w:rsid w:val="00E94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7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78D"/>
    <w:pPr>
      <w:spacing w:before="160"/>
      <w:jc w:val="center"/>
    </w:pPr>
    <w:rPr>
      <w:i/>
      <w:iCs/>
      <w:color w:val="404040" w:themeColor="text1" w:themeTint="BF"/>
    </w:rPr>
  </w:style>
  <w:style w:type="character" w:customStyle="1" w:styleId="QuoteChar">
    <w:name w:val="Quote Char"/>
    <w:basedOn w:val="DefaultParagraphFont"/>
    <w:link w:val="Quote"/>
    <w:uiPriority w:val="29"/>
    <w:rsid w:val="00E9478D"/>
    <w:rPr>
      <w:i/>
      <w:iCs/>
      <w:color w:val="404040" w:themeColor="text1" w:themeTint="BF"/>
    </w:rPr>
  </w:style>
  <w:style w:type="paragraph" w:styleId="ListParagraph">
    <w:name w:val="List Paragraph"/>
    <w:basedOn w:val="Normal"/>
    <w:uiPriority w:val="34"/>
    <w:qFormat/>
    <w:rsid w:val="00E9478D"/>
    <w:pPr>
      <w:ind w:left="720"/>
      <w:contextualSpacing/>
    </w:pPr>
  </w:style>
  <w:style w:type="character" w:styleId="IntenseEmphasis">
    <w:name w:val="Intense Emphasis"/>
    <w:basedOn w:val="DefaultParagraphFont"/>
    <w:uiPriority w:val="21"/>
    <w:qFormat/>
    <w:rsid w:val="00E9478D"/>
    <w:rPr>
      <w:i/>
      <w:iCs/>
      <w:color w:val="0F4761" w:themeColor="accent1" w:themeShade="BF"/>
    </w:rPr>
  </w:style>
  <w:style w:type="paragraph" w:styleId="IntenseQuote">
    <w:name w:val="Intense Quote"/>
    <w:basedOn w:val="Normal"/>
    <w:next w:val="Normal"/>
    <w:link w:val="IntenseQuoteChar"/>
    <w:uiPriority w:val="30"/>
    <w:qFormat/>
    <w:rsid w:val="00E947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78D"/>
    <w:rPr>
      <w:i/>
      <w:iCs/>
      <w:color w:val="0F4761" w:themeColor="accent1" w:themeShade="BF"/>
    </w:rPr>
  </w:style>
  <w:style w:type="character" w:styleId="IntenseReference">
    <w:name w:val="Intense Reference"/>
    <w:basedOn w:val="DefaultParagraphFont"/>
    <w:uiPriority w:val="32"/>
    <w:qFormat/>
    <w:rsid w:val="00E947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478</Words>
  <Characters>2729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Juleiga Regal</dc:creator>
  <cp:keywords/>
  <dc:description/>
  <cp:lastModifiedBy>Juleiga Regal</cp:lastModifiedBy>
  <cp:revision>10</cp:revision>
  <dcterms:created xsi:type="dcterms:W3CDTF">2025-09-14T13:21:00Z</dcterms:created>
  <dcterms:modified xsi:type="dcterms:W3CDTF">2025-09-14T14:09:00Z</dcterms:modified>
</cp:coreProperties>
</file>