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Abstract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Winning the Global Narrative in the AI Era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Artificial intelligence is reshaping the way global narratives are created and shared. From automated media production to algorithm-driven distribution and multilingual translation, AI opens up remarkable opportunities to amplify voices, expand cultural reach, and engage international audiences with new speed and scale. At the same time, its rapid rise reminds us that technology alone cannot ensure trust or understanding: cultural nuance, emotional resonance, and ethical responsibility remain essential.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Through real-world cases, the talk highlights moments where AI has enriched international communication, as well as lessons from instances where over-reliance has backfired. It explores how to harness the benefits of AI while thoughtfully managing the risks it brings. It argues that to truly win the global narrative in the AI era, we must move towards integrating AI’s power with human creativity and cross-cultural sensitivity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just as international communication theories and practices have long guided our understanding of how narratives travel. Ultimately, success lies in using AI as a partner that, when guided by human insight, can expand creativity, strengthen communication, and foster shared understanding across borders.</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Tagline </w:t>
      </w:r>
      <w:r>
        <w:rPr>
          <w:rFonts w:ascii="SimSun" w:hAnsi="SimSun" w:cs="SimSun" w:eastAsia="SimSu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for promotion</w:t>
      </w:r>
      <w:r>
        <w:rPr>
          <w:rFonts w:ascii="SimSun" w:hAnsi="SimSun" w:cs="SimSun" w:eastAsia="SimSu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Harnessing AI’s power to connect cultures, build trust, and shape the global stories of tomorrow.</w:t>
      </w:r>
    </w:p>
    <w:p>
      <w:pPr>
        <w:spacing w:before="100" w:after="100" w:line="240"/>
        <w:ind w:right="0" w:left="0" w:firstLine="0"/>
        <w:jc w:val="left"/>
        <w:rPr>
          <w:rFonts w:ascii="SimSun" w:hAnsi="SimSun" w:cs="SimSun" w:eastAsia="SimSun"/>
          <w:color w:val="auto"/>
          <w:spacing w:val="0"/>
          <w:position w:val="0"/>
          <w:sz w:val="24"/>
          <w:shd w:fill="auto" w:val="clear"/>
        </w:rPr>
      </w:pPr>
      <w:r>
        <w:rPr>
          <w:rFonts w:ascii="SimSun" w:hAnsi="SimSun" w:cs="SimSun" w:eastAsia="SimSun"/>
          <w:color w:val="auto"/>
          <w:spacing w:val="0"/>
          <w:position w:val="0"/>
          <w:sz w:val="24"/>
          <w:shd w:fill="auto" w:val="clear"/>
        </w:rPr>
        <w:t xml:space="preserve">人工智能时代的全球叙事</w:t>
      </w:r>
      <w:r>
        <w:rPr>
          <w:rFonts w:ascii="SimSun" w:hAnsi="SimSun" w:cs="SimSun" w:eastAsia="SimSun"/>
          <w:b/>
          <w:color w:val="auto"/>
          <w:spacing w:val="0"/>
          <w:position w:val="0"/>
          <w:sz w:val="24"/>
          <w:shd w:fill="auto" w:val="clear"/>
        </w:rPr>
        <w:t xml:space="preserve">构建</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SimSun" w:hAnsi="SimSun" w:cs="SimSun" w:eastAsia="SimSun"/>
          <w:color w:val="auto"/>
          <w:spacing w:val="0"/>
          <w:position w:val="0"/>
          <w:sz w:val="24"/>
          <w:shd w:fill="auto" w:val="clear"/>
        </w:rPr>
        <w:t xml:space="preserve">人工智能正在重塑全球叙事的生成与传播方式。从自动化的媒体生产，到算法驱动的分发与多语言翻译，</w:t>
      </w:r>
      <w:r>
        <w:rPr>
          <w:rFonts w:ascii="Times New Roman" w:hAnsi="Times New Roman" w:cs="Times New Roman" w:eastAsia="Times New Roman"/>
          <w:color w:val="auto"/>
          <w:spacing w:val="0"/>
          <w:position w:val="0"/>
          <w:sz w:val="24"/>
          <w:shd w:fill="auto" w:val="clear"/>
        </w:rPr>
        <w:t xml:space="preserve">AI </w:t>
      </w:r>
      <w:r>
        <w:rPr>
          <w:rFonts w:ascii="SimSun" w:hAnsi="SimSun" w:cs="SimSun" w:eastAsia="SimSun"/>
          <w:color w:val="auto"/>
          <w:spacing w:val="0"/>
          <w:position w:val="0"/>
          <w:sz w:val="24"/>
          <w:shd w:fill="auto" w:val="clear"/>
        </w:rPr>
        <w:t xml:space="preserve">为扩展表达空间、拓展文化影响力以及以前所未有的速度与规模吸引国际受众，创造了非凡的机遇。与此同时，它的迅猛发展也提醒我们：单靠技术无法确保信任或理解；文化的细腻、情感的共鸣与伦理的责任始终不可或缺。</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SimSun" w:hAnsi="SimSun" w:cs="SimSun" w:eastAsia="SimSun"/>
          <w:color w:val="auto"/>
          <w:spacing w:val="0"/>
          <w:position w:val="0"/>
          <w:sz w:val="24"/>
          <w:shd w:fill="auto" w:val="clear"/>
        </w:rPr>
        <w:t xml:space="preserve">本次演讲将通过真实案例，展示</w:t>
      </w:r>
      <w:r>
        <w:rPr>
          <w:rFonts w:ascii="Times New Roman" w:hAnsi="Times New Roman" w:cs="Times New Roman" w:eastAsia="Times New Roman"/>
          <w:color w:val="auto"/>
          <w:spacing w:val="0"/>
          <w:position w:val="0"/>
          <w:sz w:val="24"/>
          <w:shd w:fill="auto" w:val="clear"/>
        </w:rPr>
        <w:t xml:space="preserve"> AI </w:t>
      </w:r>
      <w:r>
        <w:rPr>
          <w:rFonts w:ascii="SimSun" w:hAnsi="SimSun" w:cs="SimSun" w:eastAsia="SimSun"/>
          <w:color w:val="auto"/>
          <w:spacing w:val="0"/>
          <w:position w:val="0"/>
          <w:sz w:val="24"/>
          <w:shd w:fill="auto" w:val="clear"/>
        </w:rPr>
        <w:t xml:space="preserve">如何丰富了国际传播的实践，也将总结在过度依赖技术时所带来的反思与教训。演讲探讨如何在谨慎管理风险的同时，有效利用</w:t>
      </w:r>
      <w:r>
        <w:rPr>
          <w:rFonts w:ascii="Times New Roman" w:hAnsi="Times New Roman" w:cs="Times New Roman" w:eastAsia="Times New Roman"/>
          <w:color w:val="auto"/>
          <w:spacing w:val="0"/>
          <w:position w:val="0"/>
          <w:sz w:val="24"/>
          <w:shd w:fill="auto" w:val="clear"/>
        </w:rPr>
        <w:t xml:space="preserve"> AI </w:t>
      </w:r>
      <w:r>
        <w:rPr>
          <w:rFonts w:ascii="SimSun" w:hAnsi="SimSun" w:cs="SimSun" w:eastAsia="SimSun"/>
          <w:color w:val="auto"/>
          <w:spacing w:val="0"/>
          <w:position w:val="0"/>
          <w:sz w:val="24"/>
          <w:shd w:fill="auto" w:val="clear"/>
        </w:rPr>
        <w:t xml:space="preserve">的优势。它主张，要在人工智能时代真正赢得全球叙事，我们必须将</w:t>
      </w:r>
      <w:r>
        <w:rPr>
          <w:rFonts w:ascii="Times New Roman" w:hAnsi="Times New Roman" w:cs="Times New Roman" w:eastAsia="Times New Roman"/>
          <w:color w:val="auto"/>
          <w:spacing w:val="0"/>
          <w:position w:val="0"/>
          <w:sz w:val="24"/>
          <w:shd w:fill="auto" w:val="clear"/>
        </w:rPr>
        <w:t xml:space="preserve"> AI </w:t>
      </w:r>
      <w:r>
        <w:rPr>
          <w:rFonts w:ascii="SimSun" w:hAnsi="SimSun" w:cs="SimSun" w:eastAsia="SimSun"/>
          <w:color w:val="auto"/>
          <w:spacing w:val="0"/>
          <w:position w:val="0"/>
          <w:sz w:val="24"/>
          <w:shd w:fill="auto" w:val="clear"/>
        </w:rPr>
        <w:t xml:space="preserve">的力量与人类的创造力和跨文化敏感性结合起来——正如国际传播的理论与实践一直提醒我们，成功的叙事能够跨越国界、连接人心。最终的关键在于：将</w:t>
      </w:r>
      <w:r>
        <w:rPr>
          <w:rFonts w:ascii="Times New Roman" w:hAnsi="Times New Roman" w:cs="Times New Roman" w:eastAsia="Times New Roman"/>
          <w:color w:val="auto"/>
          <w:spacing w:val="0"/>
          <w:position w:val="0"/>
          <w:sz w:val="24"/>
          <w:shd w:fill="auto" w:val="clear"/>
        </w:rPr>
        <w:t xml:space="preserve"> AI </w:t>
      </w:r>
      <w:r>
        <w:rPr>
          <w:rFonts w:ascii="SimSun" w:hAnsi="SimSun" w:cs="SimSun" w:eastAsia="SimSun"/>
          <w:color w:val="auto"/>
          <w:spacing w:val="0"/>
          <w:position w:val="0"/>
          <w:sz w:val="24"/>
          <w:shd w:fill="auto" w:val="clear"/>
        </w:rPr>
        <w:t xml:space="preserve">作为伙伴，在人类洞见的引导下，拓展创造力、强化沟通，并在跨越国界的交流中促进相互理解。</w:t>
      </w:r>
    </w:p>
    <w:p>
      <w:pPr>
        <w:spacing w:before="0" w:after="160" w:line="259"/>
        <w:ind w:right="0" w:left="0" w:firstLine="0"/>
        <w:jc w:val="left"/>
        <w:rPr>
          <w:rFonts w:ascii="SimSun" w:hAnsi="SimSun" w:cs="SimSun" w:eastAsia="SimSun"/>
          <w:b/>
          <w:color w:val="auto"/>
          <w:spacing w:val="0"/>
          <w:position w:val="0"/>
          <w:sz w:val="22"/>
          <w:shd w:fill="auto" w:val="clear"/>
        </w:rPr>
      </w:pPr>
      <w:r>
        <w:rPr>
          <w:rFonts w:ascii="SimSun" w:hAnsi="SimSun" w:cs="SimSun" w:eastAsia="SimSun"/>
          <w:b/>
          <w:color w:val="auto"/>
          <w:spacing w:val="0"/>
          <w:position w:val="0"/>
          <w:sz w:val="22"/>
          <w:shd w:fill="auto" w:val="clear"/>
        </w:rPr>
        <w:t xml:space="preserve">宣传语：</w:t>
      </w:r>
      <w:r>
        <w:rPr>
          <w:rFonts w:ascii="Calibri" w:hAnsi="Calibri" w:cs="Calibri" w:eastAsia="Calibri"/>
          <w:b/>
          <w:color w:val="auto"/>
          <w:spacing w:val="0"/>
          <w:position w:val="0"/>
          <w:sz w:val="22"/>
          <w:shd w:fill="auto" w:val="clear"/>
        </w:rPr>
        <w:t xml:space="preserve"> </w:t>
      </w:r>
      <w:r>
        <w:rPr>
          <w:rFonts w:ascii="SimSun" w:hAnsi="SimSun" w:cs="SimSun" w:eastAsia="SimSun"/>
          <w:b/>
          <w:color w:val="auto"/>
          <w:spacing w:val="0"/>
          <w:position w:val="0"/>
          <w:sz w:val="22"/>
          <w:shd w:fill="auto" w:val="clear"/>
        </w:rPr>
        <w:t xml:space="preserve">智能助力，讲好全球故事</w:t>
      </w:r>
    </w:p>
    <w:p>
      <w:pPr>
        <w:spacing w:before="0" w:after="160" w:line="259"/>
        <w:ind w:right="0" w:left="0" w:firstLine="0"/>
        <w:jc w:val="left"/>
        <w:rPr>
          <w:rFonts w:ascii="SimSun" w:hAnsi="SimSun" w:cs="SimSun" w:eastAsia="SimSun"/>
          <w:b/>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Bio of Xiaoling Zhang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Prof Xiaoling Zhang is Head of the Department of Media and Communication at Xi’an Jiaotong</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Liverpool University, where she also co-leads the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Heritage and Communication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research cluster within the University Research Centre for Culture, Communication and Society (CCCS). She also serves as the Faculty International Association of Media and Communication Research (IAMCR) Ambassador in China.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 internationally recognised scholar of media, culture, and global engagement, she has published widely in these fields, with recent work focusing on how nations seek to refresh their images and build international soft power. She has extensive experience in leading collaborative academic projects that bring together senior, mid-career, and early-career scholars across disciplines.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Her publications include several well-received special issues of journals, monographs, and (co-)edited influential volumes. She is committed to contributing to the development of theoretical frameworks that help explain the dynamics of communication and culture in contemporary China.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Prof Zhang is also co-editor of the Routledge book series </w:t>
      </w:r>
      <w:r>
        <w:rPr>
          <w:rFonts w:ascii="Times New Roman" w:hAnsi="Times New Roman" w:cs="Times New Roman" w:eastAsia="Times New Roman"/>
          <w:i/>
          <w:color w:val="auto"/>
          <w:spacing w:val="0"/>
          <w:position w:val="0"/>
          <w:sz w:val="24"/>
          <w:shd w:fill="auto" w:val="clear"/>
        </w:rPr>
        <w:t xml:space="preserve">Communicating China: Past, Present, and Future</w:t>
      </w:r>
      <w:r>
        <w:rPr>
          <w:rFonts w:ascii="Times New Roman" w:hAnsi="Times New Roman" w:cs="Times New Roman" w:eastAsia="Times New Roman"/>
          <w:color w:val="auto"/>
          <w:spacing w:val="0"/>
          <w:position w:val="0"/>
          <w:sz w:val="24"/>
          <w:shd w:fill="auto" w:val="clear"/>
        </w:rPr>
        <w:t xml:space="preserve">.</w:t>
      </w:r>
    </w:p>
    <w:p>
      <w:pPr>
        <w:spacing w:before="100" w:after="100" w:line="240"/>
        <w:ind w:right="0" w:left="0" w:firstLine="0"/>
        <w:jc w:val="left"/>
        <w:rPr>
          <w:rFonts w:ascii="SimSun" w:hAnsi="SimSun" w:cs="SimSun" w:eastAsia="SimSun"/>
          <w:b/>
          <w:color w:val="auto"/>
          <w:spacing w:val="0"/>
          <w:position w:val="0"/>
          <w:sz w:val="24"/>
          <w:shd w:fill="auto" w:val="clear"/>
        </w:rPr>
      </w:pPr>
    </w:p>
    <w:p>
      <w:pPr>
        <w:spacing w:before="100" w:after="100" w:line="240"/>
        <w:ind w:right="0" w:left="0" w:firstLine="0"/>
        <w:jc w:val="left"/>
        <w:rPr>
          <w:rFonts w:ascii="SimSun" w:hAnsi="SimSun" w:cs="SimSun" w:eastAsia="SimSun"/>
          <w:b/>
          <w:color w:val="auto"/>
          <w:spacing w:val="0"/>
          <w:position w:val="0"/>
          <w:sz w:val="24"/>
          <w:shd w:fill="auto" w:val="clear"/>
        </w:rPr>
      </w:pPr>
      <w:r>
        <w:rPr>
          <w:rFonts w:ascii="SimSun" w:hAnsi="SimSun" w:cs="SimSun" w:eastAsia="SimSun"/>
          <w:b/>
          <w:color w:val="auto"/>
          <w:spacing w:val="0"/>
          <w:position w:val="0"/>
          <w:sz w:val="24"/>
          <w:shd w:fill="auto" w:val="clear"/>
        </w:rPr>
        <w:t xml:space="preserve">张小玲教授简介</w:t>
      </w:r>
    </w:p>
    <w:p>
      <w:pPr>
        <w:spacing w:before="100" w:after="100" w:line="240"/>
        <w:ind w:right="0" w:left="0" w:firstLine="0"/>
        <w:jc w:val="left"/>
        <w:rPr>
          <w:rFonts w:ascii="SimSun" w:hAnsi="SimSun" w:cs="SimSun" w:eastAsia="SimSun"/>
          <w:color w:val="auto"/>
          <w:spacing w:val="0"/>
          <w:position w:val="0"/>
          <w:sz w:val="24"/>
          <w:shd w:fill="auto" w:val="clear"/>
        </w:rPr>
      </w:pPr>
      <w:r>
        <w:rPr>
          <w:rFonts w:ascii="SimSun" w:hAnsi="SimSun" w:cs="SimSun" w:eastAsia="SimSun"/>
          <w:color w:val="auto"/>
          <w:spacing w:val="0"/>
          <w:position w:val="0"/>
          <w:sz w:val="24"/>
          <w:shd w:fill="auto" w:val="clear"/>
        </w:rPr>
        <w:t xml:space="preserve">张</w:t>
      </w:r>
      <w:r>
        <w:rPr>
          <w:rFonts w:ascii="SimSun" w:hAnsi="SimSun" w:cs="SimSun" w:eastAsia="SimSun"/>
          <w:b/>
          <w:color w:val="auto"/>
          <w:spacing w:val="0"/>
          <w:position w:val="0"/>
          <w:sz w:val="24"/>
          <w:shd w:fill="auto" w:val="clear"/>
        </w:rPr>
        <w:t xml:space="preserve">小</w:t>
      </w:r>
      <w:r>
        <w:rPr>
          <w:rFonts w:ascii="SimSun" w:hAnsi="SimSun" w:cs="SimSun" w:eastAsia="SimSun"/>
          <w:color w:val="auto"/>
          <w:spacing w:val="0"/>
          <w:position w:val="0"/>
          <w:sz w:val="24"/>
          <w:shd w:fill="auto" w:val="clear"/>
        </w:rPr>
        <w:t xml:space="preserve">玲教授现任西交利物浦大学媒体与传播系主任，并兼任校级文化、传播与社会研究中心（</w:t>
      </w:r>
      <w:r>
        <w:rPr>
          <w:rFonts w:ascii="Times New Roman" w:hAnsi="Times New Roman" w:cs="Times New Roman" w:eastAsia="Times New Roman"/>
          <w:color w:val="auto"/>
          <w:spacing w:val="0"/>
          <w:position w:val="0"/>
          <w:sz w:val="24"/>
          <w:shd w:fill="auto" w:val="clear"/>
        </w:rPr>
        <w:t xml:space="preserve">CCCS</w:t>
      </w:r>
      <w:r>
        <w:rPr>
          <w:rFonts w:ascii="SimSun" w:hAnsi="SimSun" w:cs="SimSun" w:eastAsia="SimSun"/>
          <w:color w:val="auto"/>
          <w:spacing w:val="0"/>
          <w:position w:val="0"/>
          <w:sz w:val="24"/>
          <w:shd w:fill="auto" w:val="clear"/>
        </w:rPr>
        <w:t xml:space="preserve">）下属“遗产与传播”研究群联合负责人。同时，她还是国际媒体与传播研究学会（</w:t>
      </w:r>
      <w:r>
        <w:rPr>
          <w:rFonts w:ascii="Times New Roman" w:hAnsi="Times New Roman" w:cs="Times New Roman" w:eastAsia="Times New Roman"/>
          <w:color w:val="auto"/>
          <w:spacing w:val="0"/>
          <w:position w:val="0"/>
          <w:sz w:val="24"/>
          <w:shd w:fill="auto" w:val="clear"/>
        </w:rPr>
        <w:t xml:space="preserve">IAMCR</w:t>
      </w:r>
      <w:r>
        <w:rPr>
          <w:rFonts w:ascii="SimSun" w:hAnsi="SimSun" w:cs="SimSun" w:eastAsia="SimSun"/>
          <w:color w:val="auto"/>
          <w:spacing w:val="0"/>
          <w:position w:val="0"/>
          <w:sz w:val="24"/>
          <w:shd w:fill="auto" w:val="clear"/>
        </w:rPr>
        <w:t xml:space="preserve">）中国区学术大使。</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SimSun" w:hAnsi="SimSun" w:cs="SimSun" w:eastAsia="SimSun"/>
          <w:color w:val="auto"/>
          <w:spacing w:val="0"/>
          <w:position w:val="0"/>
          <w:sz w:val="24"/>
          <w:shd w:fill="auto" w:val="clear"/>
        </w:rPr>
        <w:t xml:space="preserve">作为国际知名的媒体、文化与国际传播领域学者，张小玲在相关领域发表了大量研究成果，近期的研究重点在于探讨国家如何更新自身形象并提升国际软实力。她在跨学科合作项目中拥有丰富的领导经验，擅长联合资深学者、中坚学者与青年学者共同开展研究。其学术成果包括多期高水平期刊特刊、学术专著，以及若干具有影响力的合（编）著。她致力于推动用源自于中国的理论建构，以更好地阐释当代中国传播与文化发展的内在逻辑与动态。</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SimSun" w:hAnsi="SimSun" w:cs="SimSun" w:eastAsia="SimSun"/>
          <w:color w:val="auto"/>
          <w:spacing w:val="0"/>
          <w:position w:val="0"/>
          <w:sz w:val="24"/>
          <w:shd w:fill="auto" w:val="clear"/>
        </w:rPr>
        <w:t xml:space="preserve">此外，张教授还是劳特利奇丛书</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Communicating China: Past, Present, and Future</w:t>
      </w:r>
      <w:r>
        <w:rPr>
          <w:rFonts w:ascii="Times New Roman" w:hAnsi="Times New Roman" w:cs="Times New Roman" w:eastAsia="Times New Roman"/>
          <w:color w:val="auto"/>
          <w:spacing w:val="0"/>
          <w:position w:val="0"/>
          <w:sz w:val="24"/>
          <w:shd w:fill="auto" w:val="clear"/>
        </w:rPr>
        <w:t xml:space="preserve"> </w:t>
      </w:r>
      <w:r>
        <w:rPr>
          <w:rFonts w:ascii="SimSun" w:hAnsi="SimSun" w:cs="SimSun" w:eastAsia="SimSun"/>
          <w:color w:val="auto"/>
          <w:spacing w:val="0"/>
          <w:position w:val="0"/>
          <w:sz w:val="24"/>
          <w:shd w:fill="auto" w:val="clear"/>
        </w:rPr>
        <w:t xml:space="preserve">的联合主编。</w:t>
      </w:r>
    </w:p>
    <w:p>
      <w:pPr>
        <w:spacing w:before="0" w:after="160" w:line="259"/>
        <w:ind w:right="0" w:left="0" w:firstLine="0"/>
        <w:jc w:val="left"/>
        <w:rPr>
          <w:rFonts w:ascii="SimSun" w:hAnsi="SimSun" w:cs="SimSun" w:eastAsia="SimSun"/>
          <w:b/>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