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64757" w14:textId="77777777" w:rsidR="00CE14EB" w:rsidRPr="00CE14EB" w:rsidRDefault="00CE14EB" w:rsidP="00CE14EB">
      <w:pPr>
        <w:jc w:val="both"/>
      </w:pPr>
      <w:r w:rsidRPr="00CE14EB">
        <w:t>Immanuel Kant 1784</w:t>
      </w:r>
    </w:p>
    <w:p w14:paraId="47BBA873" w14:textId="77777777" w:rsidR="00CE14EB" w:rsidRPr="00CE14EB" w:rsidRDefault="00CE14EB" w:rsidP="00CE14EB">
      <w:pPr>
        <w:jc w:val="both"/>
        <w:rPr>
          <w:b/>
          <w:bCs/>
          <w:sz w:val="32"/>
          <w:szCs w:val="32"/>
        </w:rPr>
      </w:pPr>
      <w:r w:rsidRPr="00CE14EB">
        <w:rPr>
          <w:b/>
          <w:bCs/>
          <w:sz w:val="32"/>
          <w:szCs w:val="32"/>
        </w:rPr>
        <w:t>An Answer to the Question: What is Enlightenment?</w:t>
      </w:r>
    </w:p>
    <w:p w14:paraId="053A2770" w14:textId="77777777" w:rsidR="00CE14EB" w:rsidRPr="00CE14EB" w:rsidRDefault="00664224" w:rsidP="00CE14EB">
      <w:pPr>
        <w:jc w:val="both"/>
      </w:pPr>
      <w:r w:rsidRPr="00CE14EB">
        <w:rPr>
          <w:noProof/>
        </w:rPr>
        <w:pict w14:anchorId="7A0DF9DB">
          <v:rect id="_x0000_i1027" alt="" style="width:854.4pt;height:.75pt;mso-width-percent:0;mso-height-percent:0;mso-width-percent:0;mso-height-percent:0" o:hrpct="0" o:hralign="center" o:hrstd="t" o:hr="t" fillcolor="#a0a0a0" stroked="f"/>
        </w:pict>
      </w:r>
    </w:p>
    <w:p w14:paraId="23079721" w14:textId="77777777" w:rsidR="00CE14EB" w:rsidRPr="00CE14EB" w:rsidRDefault="00CE14EB" w:rsidP="00CE14EB">
      <w:pPr>
        <w:rPr>
          <w:i/>
          <w:iCs/>
          <w:sz w:val="21"/>
          <w:szCs w:val="21"/>
        </w:rPr>
      </w:pPr>
      <w:r w:rsidRPr="00CE14EB">
        <w:rPr>
          <w:b/>
          <w:bCs/>
          <w:i/>
          <w:iCs/>
          <w:sz w:val="21"/>
          <w:szCs w:val="21"/>
        </w:rPr>
        <w:t>Written</w:t>
      </w:r>
      <w:r w:rsidRPr="00CE14EB">
        <w:rPr>
          <w:i/>
          <w:iCs/>
          <w:sz w:val="21"/>
          <w:szCs w:val="21"/>
        </w:rPr>
        <w:t>: 30th September, 1784;</w:t>
      </w:r>
      <w:r w:rsidRPr="00CE14EB">
        <w:rPr>
          <w:i/>
          <w:iCs/>
          <w:sz w:val="21"/>
          <w:szCs w:val="21"/>
        </w:rPr>
        <w:br/>
      </w:r>
      <w:r w:rsidRPr="00CE14EB">
        <w:rPr>
          <w:b/>
          <w:bCs/>
          <w:i/>
          <w:iCs/>
          <w:sz w:val="21"/>
          <w:szCs w:val="21"/>
        </w:rPr>
        <w:t>First Published</w:t>
      </w:r>
      <w:r w:rsidRPr="00CE14EB">
        <w:rPr>
          <w:i/>
          <w:iCs/>
          <w:sz w:val="21"/>
          <w:szCs w:val="21"/>
        </w:rPr>
        <w:t>: 1798</w:t>
      </w:r>
      <w:r w:rsidRPr="00CE14EB">
        <w:rPr>
          <w:i/>
          <w:iCs/>
          <w:sz w:val="21"/>
          <w:szCs w:val="21"/>
        </w:rPr>
        <w:br/>
      </w:r>
      <w:r w:rsidRPr="00CE14EB">
        <w:rPr>
          <w:b/>
          <w:bCs/>
          <w:i/>
          <w:iCs/>
          <w:sz w:val="21"/>
          <w:szCs w:val="21"/>
        </w:rPr>
        <w:t>Source</w:t>
      </w:r>
      <w:r w:rsidRPr="00CE14EB">
        <w:rPr>
          <w:i/>
          <w:iCs/>
          <w:sz w:val="21"/>
          <w:szCs w:val="21"/>
        </w:rPr>
        <w:t>: Immanuel Kant. Practical Philosophy, Cambridge University Press, translated and edited by Mary J. Gregor, 1996;</w:t>
      </w:r>
      <w:r w:rsidRPr="00CE14EB">
        <w:rPr>
          <w:i/>
          <w:iCs/>
          <w:sz w:val="21"/>
          <w:szCs w:val="21"/>
        </w:rPr>
        <w:br/>
      </w:r>
      <w:r w:rsidRPr="00CE14EB">
        <w:rPr>
          <w:b/>
          <w:bCs/>
          <w:i/>
          <w:iCs/>
          <w:sz w:val="21"/>
          <w:szCs w:val="21"/>
        </w:rPr>
        <w:t>Transcribed</w:t>
      </w:r>
      <w:r w:rsidRPr="00CE14EB">
        <w:rPr>
          <w:i/>
          <w:iCs/>
          <w:sz w:val="21"/>
          <w:szCs w:val="21"/>
        </w:rPr>
        <w:t>: by </w:t>
      </w:r>
      <w:hyperlink r:id="rId4" w:history="1">
        <w:r w:rsidRPr="00CE14EB">
          <w:rPr>
            <w:rStyle w:val="Hyperlink"/>
            <w:i/>
            <w:iCs/>
            <w:sz w:val="21"/>
            <w:szCs w:val="21"/>
          </w:rPr>
          <w:t>Andy Blunden</w:t>
        </w:r>
      </w:hyperlink>
      <w:r w:rsidRPr="00CE14EB">
        <w:rPr>
          <w:i/>
          <w:iCs/>
          <w:sz w:val="21"/>
          <w:szCs w:val="21"/>
        </w:rPr>
        <w:t>.</w:t>
      </w:r>
    </w:p>
    <w:p w14:paraId="753DA39A" w14:textId="77777777" w:rsidR="00CE14EB" w:rsidRPr="00CE14EB" w:rsidRDefault="00664224" w:rsidP="00CE14EB">
      <w:pPr>
        <w:jc w:val="both"/>
      </w:pPr>
      <w:r w:rsidRPr="00CE14EB">
        <w:rPr>
          <w:noProof/>
        </w:rPr>
        <w:pict w14:anchorId="053747E4">
          <v:rect id="_x0000_i1026" alt="" style="width:854.4pt;height:.75pt;mso-width-percent:0;mso-height-percent:0;mso-width-percent:0;mso-height-percent:0" o:hrpct="0" o:hralign="center" o:hrstd="t" o:hr="t" fillcolor="#a0a0a0" stroked="f"/>
        </w:pict>
      </w:r>
    </w:p>
    <w:p w14:paraId="7408423A" w14:textId="77777777" w:rsidR="00CE14EB" w:rsidRDefault="00CE14EB" w:rsidP="00CE14EB">
      <w:pPr>
        <w:jc w:val="both"/>
        <w:rPr>
          <w:i/>
          <w:iCs/>
        </w:rPr>
      </w:pPr>
    </w:p>
    <w:p w14:paraId="58BA4A3F" w14:textId="11DD5B67" w:rsidR="00CE14EB" w:rsidRPr="00CE14EB" w:rsidRDefault="00CE14EB" w:rsidP="00CE14EB">
      <w:pPr>
        <w:jc w:val="both"/>
      </w:pPr>
      <w:r w:rsidRPr="00CE14EB">
        <w:rPr>
          <w:i/>
          <w:iCs/>
        </w:rPr>
        <w:t>Enlightenment is the human being’s emergence from his self-incurred minority.</w:t>
      </w:r>
      <w:r w:rsidRPr="00CE14EB">
        <w:t> Minority is inability to make use of one’s own understanding without direction from another. This minority </w:t>
      </w:r>
      <w:r w:rsidRPr="00CE14EB">
        <w:rPr>
          <w:i/>
          <w:iCs/>
        </w:rPr>
        <w:t>is self-incurred </w:t>
      </w:r>
      <w:r w:rsidRPr="00CE14EB">
        <w:t>when its cause lies not in lack of understanding but in lack of resolution and courage to use it without direction from another. </w:t>
      </w:r>
      <w:r w:rsidRPr="00CE14EB">
        <w:rPr>
          <w:i/>
          <w:iCs/>
        </w:rPr>
        <w:t>Sapere aude!</w:t>
      </w:r>
      <w:r w:rsidRPr="00CE14EB">
        <w:t> [dare to be wise] Have courage to make use of your </w:t>
      </w:r>
      <w:r w:rsidRPr="00CE14EB">
        <w:rPr>
          <w:i/>
          <w:iCs/>
        </w:rPr>
        <w:t>own </w:t>
      </w:r>
      <w:r w:rsidRPr="00CE14EB">
        <w:t>understanding! is thus the motto of enlightenment.</w:t>
      </w:r>
    </w:p>
    <w:p w14:paraId="7DBF441A" w14:textId="77777777" w:rsidR="00CE14EB" w:rsidRPr="00CE14EB" w:rsidRDefault="00CE14EB" w:rsidP="00CE14EB">
      <w:pPr>
        <w:jc w:val="both"/>
      </w:pPr>
      <w:r w:rsidRPr="00CE14EB">
        <w:t>It is because of laziness and cowardice that so great a part of humankind, after nature has long since emancipated them from other people’s direction (</w:t>
      </w:r>
      <w:r w:rsidRPr="00CE14EB">
        <w:rPr>
          <w:i/>
          <w:iCs/>
        </w:rPr>
        <w:t>naturaliter maiorennes</w:t>
      </w:r>
      <w:r w:rsidRPr="00CE14EB">
        <w:t>), nevertheless gladly remains minors for life, and that it becomes so easy for others to set themselves up as their guardians. It is so comfortable to be a minor! If I have a book that understands for me, a spiritual advisor who has a conscience for me, a doctor who decides upon a regimen for me, and so forth, I need not trouble myself at all. I need not think, if only I can pay; others will readily undertake the irksome business for me. That by far the greatest part of humankind (including the entire fair sex) should hold the step toward majority to be not only troublesome but also highly dangerous will soon be seen to by those guardians who have kindly taken it upon themselves to supervise them; after they have made their domesticated animals dumb and carefully prevented these placid creatures from daring to take a single step without the walking cart in which they have confined them, they then show them the danger that threatens them if they try to walk alone. Now this danger is not in fact so great, for by a few falls they would eventually learn to walk; but an example of this kind makes them timid and usually frightens them away from any further attempt.</w:t>
      </w:r>
    </w:p>
    <w:p w14:paraId="2DA484E5" w14:textId="77777777" w:rsidR="00CE14EB" w:rsidRPr="00CE14EB" w:rsidRDefault="00CE14EB" w:rsidP="00CE14EB">
      <w:pPr>
        <w:jc w:val="both"/>
      </w:pPr>
      <w:r w:rsidRPr="00CE14EB">
        <w:t>Thus it is difficult for any single individual to extricate himself from the minority that has become almost nature to him. He has even grown fond of it and is really unable for the time being to make use of his own understanding, because he was never allowed to make the attempt. Precepts and formulas, those mechanical instruments of a rational use, or rather misuse, of his natural endowments, are the ball and chain of an everlasting minority. And anyone who did throw them off would still make only an uncertain leap over even the narrowest ditch, since he would not be accustomed to free movement of this kind. Hence there are only a few who have succeeded, by their own cultivation of their spirit, in extricating themselves from minority and yet walking confidently.</w:t>
      </w:r>
    </w:p>
    <w:p w14:paraId="1B8B0ACD" w14:textId="77777777" w:rsidR="00CE14EB" w:rsidRPr="00CE14EB" w:rsidRDefault="00CE14EB" w:rsidP="00CE14EB">
      <w:pPr>
        <w:jc w:val="both"/>
      </w:pPr>
      <w:r w:rsidRPr="00CE14EB">
        <w:t xml:space="preserve">But that a public should enlighten itself is more possible; indeed this is almost inevitable, if only it is left its freedom. For there will always be a few independent thinkers, even among the established guardians of the great masses, who, after having themselves cast off the yoke of minority, will disseminate the spirit of a rational valuing of one’s own worth and of the calling of each individual to think for himself. What should be noted here is that the public, which was previously put under this yoke by the guardians, may subsequently </w:t>
      </w:r>
      <w:r w:rsidRPr="00CE14EB">
        <w:lastRenderedPageBreak/>
        <w:t>itself compel them to remain under it, if the public is suitably stirred up by some of its guardians who are themselves incapable of any enlightenment; so harmful is it to implant prejudices, because they finally take their revenge on the very people who, or whose predecessors, were their authors. Thus a public can achieve enlightenment only slowly. A revolution may well bring about a failing off of personal despotism and of avaricious or tyrannical oppression, but never a true reform in one’s way of thinking; instead new prejudices will serve just as well as old ones to harness the great unthinking masses.</w:t>
      </w:r>
    </w:p>
    <w:p w14:paraId="402A2A7F" w14:textId="77777777" w:rsidR="00CE14EB" w:rsidRPr="00CE14EB" w:rsidRDefault="00CE14EB" w:rsidP="00CE14EB">
      <w:pPr>
        <w:jc w:val="both"/>
      </w:pPr>
      <w:r w:rsidRPr="00CE14EB">
        <w:t>For this enlightenment, however, nothing is required </w:t>
      </w:r>
      <w:r w:rsidRPr="00CE14EB">
        <w:rPr>
          <w:i/>
          <w:iCs/>
        </w:rPr>
        <w:t>but freedom, and </w:t>
      </w:r>
      <w:r w:rsidRPr="00CE14EB">
        <w:t>indeed the least harmful of anything that could even be called freedom: namely, freedom to make </w:t>
      </w:r>
      <w:r w:rsidRPr="00CE14EB">
        <w:rPr>
          <w:i/>
          <w:iCs/>
        </w:rPr>
        <w:t>public use </w:t>
      </w:r>
      <w:r w:rsidRPr="00CE14EB">
        <w:t>of one’s reason in all matters. But I hear from all sides the cry: Do </w:t>
      </w:r>
      <w:r w:rsidRPr="00CE14EB">
        <w:rPr>
          <w:i/>
          <w:iCs/>
        </w:rPr>
        <w:t>not argue! </w:t>
      </w:r>
      <w:r w:rsidRPr="00CE14EB">
        <w:t>The officer says: Do not argue but drill! The tax official: Do not argue but pay! The clergyman: Do not argue but believe! (Only one ruler in the world says: </w:t>
      </w:r>
      <w:r w:rsidRPr="00CE14EB">
        <w:rPr>
          <w:i/>
          <w:iCs/>
        </w:rPr>
        <w:t>Argue </w:t>
      </w:r>
      <w:r w:rsidRPr="00CE14EB">
        <w:t>as much as you will and about whatever you </w:t>
      </w:r>
      <w:r w:rsidRPr="00CE14EB">
        <w:rPr>
          <w:i/>
          <w:iCs/>
        </w:rPr>
        <w:t>will, but obey!</w:t>
      </w:r>
      <w:r w:rsidRPr="00CE14EB">
        <w:t>) Everywhere there are restrictions on freedom. But what sort of restriction hinders enlightenment, and what sort does not hinder but instead promotes it? – I reply: The </w:t>
      </w:r>
      <w:r w:rsidRPr="00CE14EB">
        <w:rPr>
          <w:i/>
          <w:iCs/>
        </w:rPr>
        <w:t>public </w:t>
      </w:r>
      <w:r w:rsidRPr="00CE14EB">
        <w:t>use of one’s reason must always be free, and it alone can bring about enlightenment among human beings; the </w:t>
      </w:r>
      <w:r w:rsidRPr="00CE14EB">
        <w:rPr>
          <w:i/>
          <w:iCs/>
        </w:rPr>
        <w:t>private use </w:t>
      </w:r>
      <w:r w:rsidRPr="00CE14EB">
        <w:t>of one’s reason may, however, often be very narrowly restricted without this particularly hindering the progress of enlightenment. But by the public use of one’s own reason I understand that use which someone makes of it </w:t>
      </w:r>
      <w:r w:rsidRPr="00CE14EB">
        <w:rPr>
          <w:i/>
          <w:iCs/>
        </w:rPr>
        <w:t>as a scholar </w:t>
      </w:r>
      <w:r w:rsidRPr="00CE14EB">
        <w:t>before the entire public of the </w:t>
      </w:r>
      <w:r w:rsidRPr="00CE14EB">
        <w:rPr>
          <w:i/>
          <w:iCs/>
        </w:rPr>
        <w:t>world of readers. </w:t>
      </w:r>
      <w:r w:rsidRPr="00CE14EB">
        <w:t xml:space="preserve">What I call the private use of reason is that which one may make of it in a certain civil post or office with which he is entrusted. Now, for many affairs conducted in the interest of a commonwealth a certain mechanism is necessary, by means of which some members of the commonwealth must behave merely passively, so as to be directed by the government, through an artful unanimity, to public ends (or at least prevented from destroying such ends). Here it is, certainly, impermissible to argue; instead, one must obey. But insofar as this part of the machine also regards himself as a member of a whole commonwealth, even of the society of citizens of the world, and so in his capacity of a scholar who by his writings addresses a public in the proper sense of the word, he can certainly argue without thereby harming the affairs assigned to him in part as a passive member. Thus it would be ruinous if an officer, receiving an order from his superiors, wanted while on duty to engage openly in subtle reasoning about its appropriateness or utility; he must obey. But he cannot fairly be prevented, as a scholar, from making remarks about errors in the military service and from putting these before his public for appraisal. A citizen cannot refuse to pay the taxes imposed upon him; an impertinent censure of such levies when he is to pay them may even be punished as a scandal (which could occasion general insubordination). But the same citizen does not act against the duty of a citizen when, as a scholar, he publicly expresses his thoughts about the inappropriateness or even injustice of such decrees. So too, a clergyman is bound to deliver his discourse to the pupils in his catechism class and to his congregation in accordance with the creed of the church he serves, for he was employed by it on that condition. But as a scholar he has complete freedom and is even called upon to communicate to the public all his carefully examined and well-intentioned thoughts about what is erroneous in that creed and his suggestions for a better arrangement of the religious and ecclesiastical body. And there is nothing in this that could be laid as a burden on his conscience. For what he teaches in consequence of his office as carrying out the business of the church, he represents as something with respect to which he does not have free power to teach as he thinks best, but which he is appointed to deliver as </w:t>
      </w:r>
      <w:r w:rsidRPr="00CE14EB">
        <w:lastRenderedPageBreak/>
        <w:t>prescribed and in the name of another. He will say: Our church teaches this or that; here are the arguments it uses. He then extracts all practical uses for his congregation from precepts to which he would not himself subscribe with full conviction but which he can nevertheless undertake to deliver because it is still not altogether impossible that truth may lie concealed in them, and in any case there is at least nothing contradictory to inner religion present in them. For if he believed he had found the latter in them, he could not in conscience hold his office; he would have to resign from it. Thus the use that an appointed teacher makes of his reason before his congregation is merely a </w:t>
      </w:r>
      <w:r w:rsidRPr="00CE14EB">
        <w:rPr>
          <w:i/>
          <w:iCs/>
        </w:rPr>
        <w:t>private use; </w:t>
      </w:r>
      <w:r w:rsidRPr="00CE14EB">
        <w:t>for a congregation, however large a gathering it may be, is still only a domestic gathering; and with respect to it he, as a priest, is not and cannot be free, since he is carrying out another’s commission. On the other hand as a scholar, who by his writings speaks to the public in the strict sense, that is, the world – hence a clergyman in the public </w:t>
      </w:r>
      <w:r w:rsidRPr="00CE14EB">
        <w:rPr>
          <w:i/>
          <w:iCs/>
        </w:rPr>
        <w:t>use </w:t>
      </w:r>
      <w:r w:rsidRPr="00CE14EB">
        <w:t>of his reason – he enjoys an unrestricted freedom to make use of his own reason and to speak in his own person. For that the guardians of the people (in spiritual matters) should themselves be minors is an absurdity that amounts to the perpetuation of absurdities.</w:t>
      </w:r>
    </w:p>
    <w:p w14:paraId="2CAD23AD" w14:textId="77777777" w:rsidR="00CE14EB" w:rsidRPr="00CE14EB" w:rsidRDefault="00CE14EB" w:rsidP="00CE14EB">
      <w:pPr>
        <w:jc w:val="both"/>
      </w:pPr>
      <w:r w:rsidRPr="00CE14EB">
        <w:t xml:space="preserve">But should not a society of clergymen, such as an ecclesiastical synod or a venerable classis (as it calls itself among the Dutch), be authorized to bind itself by oath to a certain unalterable creed, in order to carry on an unceasing guardianship over each of its members and by means of them over the people, and even to perpetuate this? I say that this is quite impossible. Such a contract, concluded to keep all further enlightenment away from the human race forever, is absolutely null and void, even if it were ratified by the supreme power, by imperial diets and by the most solemn peace treaties. One age cannot bind itself and conspire to put the following one into such a condition that it would be impossible for it to enlarge its cognitions (especially in such urgent matters) and to purify them of errors, and generally to make further progress in enlightenment. This would be a crime against human nature, whose original vocation lies precisely in such progress; and succeeding generations are therefore perfectly authorized to reject such decisions as unauthorized and made sacrilegiously. The touchstone of whatever can be decided upon as law for a people lies in the question: whether a people could impose such a law upon itself. Now this might indeed be possible for a determinate short time, in expectation as it were of a better one, in order to introduce a certain order; during that time each citizen, particularly a clergyman, would be left free, in his capacity as a scholar, to make his remarks publicly, that is, through writings, about defects in the present institution; meanwhile, the order introduced would last until public insight into the nature of these things had become so widespread and confirmed that by the union of their voices (even if not all of them) it could submit a proposal to the crown, to take under its protection those congregations that have, perhaps in accordance with their concepts of better insight, agreed to an altered religious institution, but without hindering those that wanted to acquiesce in the old one. But it is absolutely impermissible to agree, even for a single lifetime, to a permanent religious constitution not to be doubted publicly by anyone and thereby, as it were, to nullify a period of time in the progress of humanity toward improvement and make it fruitless and hence detrimental to posterity. One can indeed, for his own person and even then only for some time, postpone enlightenment in what it is incumbent upon him to know; but to renounce enlightenment, whether for his own person or even more so for posterity, is to violate the sacred right of humanity and trample it underfoot. But what a people may never decide upon for itself, a monarch may </w:t>
      </w:r>
      <w:r w:rsidRPr="00CE14EB">
        <w:lastRenderedPageBreak/>
        <w:t>still less decide upon for a people;, for his legislative authority rests precisely on this, that he unites in his will the collective will of the people. As long as he sees to it that any true or supposed improvement is consistent with civil order, he can for the rest leave it to his subjects to do what they find it necessary to do for the sake of their salvation;2 that is no concern of his, but it is indeed his concern to prevent any one of them from forcibly hindering others from working to the best of their ability to determine and promote their salvation. It even infringes upon his majesty if he meddles in these affairs by honoring with governmental inspection the writings in which his subjects attempt to clarify their insight, as well as if he does this from his own supreme insight, in which case he exposes himself to the reproach </w:t>
      </w:r>
      <w:r w:rsidRPr="00CE14EB">
        <w:rPr>
          <w:i/>
          <w:iCs/>
        </w:rPr>
        <w:t>Caesar non est super grammaticos</w:t>
      </w:r>
      <w:r w:rsidRPr="00CE14EB">
        <w:t>, [Caesar is not above the grammarians] but much more so if he demeans his supreme authority so far as to support the spiritual despotism of a few tyrants within his state against the rest of his subjects.</w:t>
      </w:r>
    </w:p>
    <w:p w14:paraId="093E8003" w14:textId="77777777" w:rsidR="00CE14EB" w:rsidRPr="00CE14EB" w:rsidRDefault="00CE14EB" w:rsidP="00CE14EB">
      <w:pPr>
        <w:jc w:val="both"/>
      </w:pPr>
      <w:r w:rsidRPr="00CE14EB">
        <w:t>If it is now asked whether we at present live in an </w:t>
      </w:r>
      <w:r w:rsidRPr="00CE14EB">
        <w:rPr>
          <w:i/>
          <w:iCs/>
        </w:rPr>
        <w:t>enlightened </w:t>
      </w:r>
      <w:r w:rsidRPr="00CE14EB">
        <w:t>age, the answer is: No, but we do live in an </w:t>
      </w:r>
      <w:r w:rsidRPr="00CE14EB">
        <w:rPr>
          <w:i/>
          <w:iCs/>
        </w:rPr>
        <w:t>age of enlightenment. </w:t>
      </w:r>
      <w:r w:rsidRPr="00CE14EB">
        <w:t>As matters now stand, a good deal more is required for people on the whole to be in the position, or even able to be put into the position, of using their own understanding confidently and well in religious matters, without another’s guidance. But we do have distinct intimations that the field is now being opened for them to work freely in this direction and that the hindrances to universal enlightenment or to humankind’s emergence from its self-incurred minority are gradually becoming fewer. In this regard this age is the age of enlightenment or the century of Frederick.</w:t>
      </w:r>
    </w:p>
    <w:p w14:paraId="3DC1B69A" w14:textId="77777777" w:rsidR="00CE14EB" w:rsidRPr="00CE14EB" w:rsidRDefault="00CE14EB" w:rsidP="00CE14EB">
      <w:pPr>
        <w:jc w:val="both"/>
      </w:pPr>
      <w:r w:rsidRPr="00CE14EB">
        <w:t>A prince who does not find it beneath himself to say that he considers it </w:t>
      </w:r>
      <w:r w:rsidRPr="00CE14EB">
        <w:rPr>
          <w:i/>
          <w:iCs/>
        </w:rPr>
        <w:t>his duty </w:t>
      </w:r>
      <w:r w:rsidRPr="00CE14EB">
        <w:t>not to prescribe anything to human beings in religious matters but to leave them complete freedom, who thus even declines the arrogant name of </w:t>
      </w:r>
      <w:r w:rsidRPr="00CE14EB">
        <w:rPr>
          <w:i/>
          <w:iCs/>
        </w:rPr>
        <w:t>tolerance, </w:t>
      </w:r>
      <w:r w:rsidRPr="00CE14EB">
        <w:t>is himself enlightened and deserves to be praised by a grateful world and by posterity as the one who first released the human race from minority, at least from the side of government, and left each free to make use of his own reason in all matters of conscience. Under him, venerable clergymen, notwithstanding their official duties, may in their capacity as scholars freely and publicly lay before the world for examination their judgments and insights deviating here and there from the creed adopted, and still more may any other who is not restricted by any official duties. This spirit of freedom is also spreading abroad, even where it has to struggle with external obstacles of a government which misunderstands itself. For it shines as an example to such a government that in freedom there is not the least cause for anxiety about public concord and the unity of the commonwealth. People gradually work their way out of barbarism of their own accord if only one does not intentionally contrive to keep them in it.</w:t>
      </w:r>
    </w:p>
    <w:p w14:paraId="4B86FEAC" w14:textId="77777777" w:rsidR="00CE14EB" w:rsidRPr="00CE14EB" w:rsidRDefault="00CE14EB" w:rsidP="00CE14EB">
      <w:pPr>
        <w:jc w:val="both"/>
      </w:pPr>
      <w:r w:rsidRPr="00CE14EB">
        <w:t>I have put the main point of enlightenment, of people’s emergence from their self-incurred minority, chiefly in matters of religion because our rulers have no interest in playing guardian over their subjects with respect to the arts and sciences and also because that minority being the most harmful, is also the most disgraceful of all. But the frame of mind of a head of state who favors the first goes still further and sees that even with respect to his legislation there is no danger in allowing his subjects to make public use of their own reason and to publish to the world their thoughts about a better way of formulating it, even with candid criticism of that already given; we have a shining example of this, in which no monarch has yet surpassed the one whom we honor.</w:t>
      </w:r>
    </w:p>
    <w:p w14:paraId="14E4E654" w14:textId="77777777" w:rsidR="00CE14EB" w:rsidRPr="00CE14EB" w:rsidRDefault="00CE14EB" w:rsidP="00CE14EB">
      <w:pPr>
        <w:jc w:val="both"/>
      </w:pPr>
      <w:r w:rsidRPr="00CE14EB">
        <w:t xml:space="preserve">But only one who, himself enlightened, is not afraid of phantoms, but at the same time has a well-disciplined and numerous army ready to guarantee public peace, can say what </w:t>
      </w:r>
      <w:r w:rsidRPr="00CE14EB">
        <w:lastRenderedPageBreak/>
        <w:t>a free state may not dare to say: </w:t>
      </w:r>
      <w:r w:rsidRPr="00CE14EB">
        <w:rPr>
          <w:i/>
          <w:iCs/>
        </w:rPr>
        <w:t>Argue as much as you will and about what you will; only obey! </w:t>
      </w:r>
      <w:r w:rsidRPr="00CE14EB">
        <w:t>Here a strange, unexpected course is revealed in human affairs, as happens elsewhere too if it is considered in the large, where almost everything is paradoxical. A greater degree of civil freedom seems advantageous to a people’s freedom of </w:t>
      </w:r>
      <w:r w:rsidRPr="00CE14EB">
        <w:rPr>
          <w:i/>
          <w:iCs/>
        </w:rPr>
        <w:t>spirit </w:t>
      </w:r>
      <w:r w:rsidRPr="00CE14EB">
        <w:t>and nevertheless puts up insurmountable barriers to it; a lesser degree of the former, on the other hand, provides a space for the latter to expand to its full capacity. Thus when nature has unwrapped, from under this hard shell, the seed for which she cares most tenderly, namely the propensity and calling to </w:t>
      </w:r>
      <w:r w:rsidRPr="00CE14EB">
        <w:rPr>
          <w:i/>
          <w:iCs/>
        </w:rPr>
        <w:t>think </w:t>
      </w:r>
      <w:r w:rsidRPr="00CE14EB">
        <w:t>freely, the latter gradually works back upon the mentality of the people (which thereby gradually becomes capable of </w:t>
      </w:r>
      <w:r w:rsidRPr="00CE14EB">
        <w:rPr>
          <w:i/>
          <w:iCs/>
        </w:rPr>
        <w:t>freedom </w:t>
      </w:r>
      <w:r w:rsidRPr="00CE14EB">
        <w:t>in acting) and eventually even upon the principles of </w:t>
      </w:r>
      <w:r w:rsidRPr="00CE14EB">
        <w:rPr>
          <w:i/>
          <w:iCs/>
        </w:rPr>
        <w:t>government, </w:t>
      </w:r>
      <w:r w:rsidRPr="00CE14EB">
        <w:t>which finds it profitable to itself to treat the human being, </w:t>
      </w:r>
      <w:r w:rsidRPr="00CE14EB">
        <w:rPr>
          <w:i/>
          <w:iCs/>
        </w:rPr>
        <w:t>who is now more than a machine, </w:t>
      </w:r>
      <w:r w:rsidRPr="00CE14EB">
        <w:t>in keeping with his dignity.</w:t>
      </w:r>
    </w:p>
    <w:p w14:paraId="2C64CFD3" w14:textId="77777777" w:rsidR="00CE14EB" w:rsidRPr="00CE14EB" w:rsidRDefault="00CE14EB" w:rsidP="00CE14EB">
      <w:pPr>
        <w:jc w:val="both"/>
      </w:pPr>
      <w:r w:rsidRPr="00CE14EB">
        <w:t>Königsberg in Prussia, 30th September, 1784</w:t>
      </w:r>
    </w:p>
    <w:p w14:paraId="3285AB0B" w14:textId="77777777" w:rsidR="00CE14EB" w:rsidRPr="00CE14EB" w:rsidRDefault="00CE14EB" w:rsidP="00CE14EB">
      <w:pPr>
        <w:jc w:val="both"/>
      </w:pPr>
      <w:r w:rsidRPr="00CE14EB">
        <w:t> </w:t>
      </w:r>
    </w:p>
    <w:p w14:paraId="4CFF9339" w14:textId="77777777" w:rsidR="00CE14EB" w:rsidRPr="00CE14EB" w:rsidRDefault="00664224" w:rsidP="00CE14EB">
      <w:pPr>
        <w:jc w:val="both"/>
      </w:pPr>
      <w:r w:rsidRPr="00CE14EB">
        <w:rPr>
          <w:noProof/>
        </w:rPr>
        <w:pict w14:anchorId="34CD9693">
          <v:rect id="_x0000_i1025" alt="" style="width:854.4pt;height:.75pt;mso-width-percent:0;mso-height-percent:0;mso-width-percent:0;mso-height-percent:0" o:hrpct="0" o:hralign="center" o:hrstd="t" o:hr="t" fillcolor="#a0a0a0" stroked="f"/>
        </w:pict>
      </w:r>
    </w:p>
    <w:p w14:paraId="26F8419D" w14:textId="77777777" w:rsidR="0084687E" w:rsidRDefault="0084687E" w:rsidP="00CE14EB">
      <w:pPr>
        <w:jc w:val="both"/>
      </w:pPr>
    </w:p>
    <w:sectPr w:rsidR="0084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EB"/>
    <w:rsid w:val="00106C5D"/>
    <w:rsid w:val="002B0776"/>
    <w:rsid w:val="00664224"/>
    <w:rsid w:val="0084687E"/>
    <w:rsid w:val="00941785"/>
    <w:rsid w:val="00993202"/>
    <w:rsid w:val="00CE14EB"/>
    <w:rsid w:val="00E574A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A271"/>
  <w15:chartTrackingRefBased/>
  <w15:docId w15:val="{1BFC2BEE-5938-814F-9781-3B4E6B9D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4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4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4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4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EB"/>
    <w:rPr>
      <w:rFonts w:eastAsiaTheme="majorEastAsia" w:cstheme="majorBidi"/>
      <w:color w:val="272727" w:themeColor="text1" w:themeTint="D8"/>
    </w:rPr>
  </w:style>
  <w:style w:type="paragraph" w:styleId="Title">
    <w:name w:val="Title"/>
    <w:basedOn w:val="Normal"/>
    <w:next w:val="Normal"/>
    <w:link w:val="TitleChar"/>
    <w:uiPriority w:val="10"/>
    <w:qFormat/>
    <w:rsid w:val="00CE14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14EB"/>
    <w:rPr>
      <w:i/>
      <w:iCs/>
      <w:color w:val="404040" w:themeColor="text1" w:themeTint="BF"/>
    </w:rPr>
  </w:style>
  <w:style w:type="paragraph" w:styleId="ListParagraph">
    <w:name w:val="List Paragraph"/>
    <w:basedOn w:val="Normal"/>
    <w:uiPriority w:val="34"/>
    <w:qFormat/>
    <w:rsid w:val="00CE14EB"/>
    <w:pPr>
      <w:ind w:left="720"/>
      <w:contextualSpacing/>
    </w:pPr>
  </w:style>
  <w:style w:type="character" w:styleId="IntenseEmphasis">
    <w:name w:val="Intense Emphasis"/>
    <w:basedOn w:val="DefaultParagraphFont"/>
    <w:uiPriority w:val="21"/>
    <w:qFormat/>
    <w:rsid w:val="00CE14EB"/>
    <w:rPr>
      <w:i/>
      <w:iCs/>
      <w:color w:val="0F4761" w:themeColor="accent1" w:themeShade="BF"/>
    </w:rPr>
  </w:style>
  <w:style w:type="paragraph" w:styleId="IntenseQuote">
    <w:name w:val="Intense Quote"/>
    <w:basedOn w:val="Normal"/>
    <w:next w:val="Normal"/>
    <w:link w:val="IntenseQuoteChar"/>
    <w:uiPriority w:val="30"/>
    <w:qFormat/>
    <w:rsid w:val="00CE1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4EB"/>
    <w:rPr>
      <w:i/>
      <w:iCs/>
      <w:color w:val="0F4761" w:themeColor="accent1" w:themeShade="BF"/>
    </w:rPr>
  </w:style>
  <w:style w:type="character" w:styleId="IntenseReference">
    <w:name w:val="Intense Reference"/>
    <w:basedOn w:val="DefaultParagraphFont"/>
    <w:uiPriority w:val="32"/>
    <w:qFormat/>
    <w:rsid w:val="00CE14EB"/>
    <w:rPr>
      <w:b/>
      <w:bCs/>
      <w:smallCaps/>
      <w:color w:val="0F4761" w:themeColor="accent1" w:themeShade="BF"/>
      <w:spacing w:val="5"/>
    </w:rPr>
  </w:style>
  <w:style w:type="character" w:styleId="Hyperlink">
    <w:name w:val="Hyperlink"/>
    <w:basedOn w:val="DefaultParagraphFont"/>
    <w:uiPriority w:val="99"/>
    <w:unhideWhenUsed/>
    <w:rsid w:val="00CE14EB"/>
    <w:rPr>
      <w:color w:val="467886" w:themeColor="hyperlink"/>
      <w:u w:val="single"/>
    </w:rPr>
  </w:style>
  <w:style w:type="character" w:styleId="UnresolvedMention">
    <w:name w:val="Unresolved Mention"/>
    <w:basedOn w:val="DefaultParagraphFont"/>
    <w:uiPriority w:val="99"/>
    <w:semiHidden/>
    <w:unhideWhenUsed/>
    <w:rsid w:val="00CE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967891">
      <w:bodyDiv w:val="1"/>
      <w:marLeft w:val="0"/>
      <w:marRight w:val="0"/>
      <w:marTop w:val="0"/>
      <w:marBottom w:val="0"/>
      <w:divBdr>
        <w:top w:val="none" w:sz="0" w:space="0" w:color="auto"/>
        <w:left w:val="none" w:sz="0" w:space="0" w:color="auto"/>
        <w:bottom w:val="none" w:sz="0" w:space="0" w:color="auto"/>
        <w:right w:val="none" w:sz="0" w:space="0" w:color="auto"/>
      </w:divBdr>
    </w:div>
    <w:div w:id="19279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xists.org/admin/volunteers/biographies/ablund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2489</Words>
  <Characters>14192</Characters>
  <Application>Microsoft Office Word</Application>
  <DocSecurity>0</DocSecurity>
  <Lines>118</Lines>
  <Paragraphs>33</Paragraphs>
  <ScaleCrop>false</ScaleCrop>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1</cp:revision>
  <dcterms:created xsi:type="dcterms:W3CDTF">2024-09-29T11:18:00Z</dcterms:created>
  <dcterms:modified xsi:type="dcterms:W3CDTF">2024-09-29T11:19:00Z</dcterms:modified>
</cp:coreProperties>
</file>