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pStyle w:val="a3"/>
      </w:pPr>
      <w:r>
        <w:t>低资源条件下句法与构式知识辅助的上海话变调域预测研究</w:t>
      </w:r>
    </w:p>
    <w:p>
      <w:r>
        <w:t>首次进入项目的读者请先读[本科生导读与术语例解](07_本科生导读与术语例解.md)，再用本文掌握正式研究范围与执行口径。</w:t>
      </w:r>
    </w:p>
    <w:p>
      <w:pPr>
        <w:pStyle w:val="1"/>
      </w:pPr>
      <w:r>
        <w:t>概要</w:t>
      </w:r>
    </w:p>
    <w:p>
      <w:r>
        <w:t>本课题研究在低资源条件下，哪些词法、句法、构式及语境信息能帮助预测上海话自然口语的变调域，并检验这些知识能否推广到陌生词项和句子。研究以中青年市区上海话使用者为主，年长者作对照；团队由5名语言学本科生和2名计算机本科生组成，周期三个月。</w:t>
      </w:r>
    </w:p>
    <w:p>
      <w:r>
        <w:t>变调域与语法结构的对应关系是待验证假说。句法可以约束成组，词汇化、音步、语速与焦点也可能改变读法。仅标变调界限可能不足以描述整句语音，还需要区分较强韵律分组、实际停顿、音高事件与句末语调。我们以Selkirk与Shen、端木、Roberts的不同主张建立可比较的实验，不将其中任何一套理论直接当作标注答案。</w:t>
      </w:r>
    </w:p>
    <w:p>
      <w:r>
        <w:t>本课题保留四个研究问题：哪些结构知识值得标；人工知识能否凝练成可推广规则；哪些变化必须依赖语境与说话方式；人工与AI分批协作能否在相同时间内增加独立质检合格的标注。给定正确读音及韵律输入后现有TTS能够读好，作为本课题前端研究的工作前提。</w:t>
      </w:r>
    </w:p>
    <w:p>
      <w:pPr>
        <w:pStyle w:val="1"/>
      </w:pPr>
      <w:r>
        <w:t>优先构式及具体例子</w:t>
      </w:r>
    </w:p>
    <w:p>
      <w:r>
        <w:t>以下均为待母语者审阅的候选。竖线只标关注位置，不给出预定读法。学习文档提供术语、原图出处和逐步推导。</w:t>
      </w:r>
    </w:p>
    <w:p>
      <w:r>
        <w:t>C01条件／因果复句：“假使伊来｜小李就要走”。固定字串比较舒适和较快语速，检验“来”后是否形成较强分组。因果扩展“因为伊来了｜小李就走了”另审措辞与长度，不能与条件句直接混为最小对。</w:t>
      </w:r>
    </w:p>
    <w:p>
      <w:r>
        <w:t>C02关系小句：“[我老欢喜个]人｜来上海”，释义为“我很喜欢的那个人来上海”。检查关系小句内部、个前后和名词中心语后边界；不能见“个”就分域。原图转写用“的”，统一正字另记录。</w:t>
      </w:r>
    </w:p>
    <w:p>
      <w:r>
        <w:t>C03否定谓语与复杂宾语：“阿爸勿欢喜｜姆妈个礼物”。同一句分别回答态度问题与纠正“阿爸喜欢礼物”的判断，比较后焦点变化是否越过宾语NP左边缘。</w:t>
      </w:r>
    </w:p>
    <w:p>
      <w:r>
        <w:t>C04话题与宾语：“我看过搿本书”与“搿本书｜我看过”。观察话题后的分组，再以相同话题句配不同语境检验纠正的作用。语序与长度等差别应单独控制。</w:t>
      </w:r>
    </w:p>
    <w:p>
      <w:r>
        <w:t>C05句末语气：“伊来过上海”“伊来过上海伐”“伊阿是来过上海”。检验助词问句和正反问是否具有相同句末音高事件。不能用一个问号代替句式和语境。</w:t>
      </w:r>
    </w:p>
    <w:p>
      <w:r>
        <w:t>C06词内对比：“伊礼拜｜三来上海”。同字串回答日期问题或纠正“礼拜四”；检验“三”是否成为新域首，还是整个“礼拜三”一起突出。</w:t>
      </w:r>
    </w:p>
    <w:p>
      <w:r>
        <w:t>C07虚词与嵌入：“伊讲｜我明朝来”，以及论文“就是｜我根本无没辰光”一类字串。检查虚词／代词是否跨较高句法边缘附着，区分合域与音高弱化。</w:t>
      </w:r>
    </w:p>
    <w:p>
      <w:r>
        <w:t>C08结果补语与后果小句：“伊推｜开门”与“伊推门｜门开了”，再补“伊推勿开门”。重点比较局部动补、潜能与小句边界；正式材料需匹配长度、词项与语境。</w:t>
      </w:r>
    </w:p>
    <w:p>
      <w:r>
        <w:t>前三个月以C01、C03、C05、C06四项受控实验为核心；其余在自然语料中登记并试录。选择这四项是因为它们能直接形成不同理论的可检验对照，不代表其他构式不重要。</w:t>
      </w:r>
    </w:p>
    <w:p>
      <w:pPr>
        <w:pStyle w:val="1"/>
      </w:pPr>
      <w:r>
        <w:t>方法一 录音与分层标注</w:t>
      </w:r>
    </w:p>
    <w:p>
      <w:r>
        <w:t>收集至少60分钟有效自然口语，保留上下文，不只截一句。有效时长指质量可用、能确定参与者及来源的会话片段，另报每人的净说话时长和重叠语音；不把两名说话人的同时发音重复加总。建议覆盖多位中青年和多个独立会话，年长者作探索对照。</w:t>
      </w:r>
    </w:p>
    <w:p>
      <w:r>
        <w:t>九层信息如下，以“假使伊来，小李就要走”说明。所有样例时间和音高是假数，仅用于教学，不进数据集。</w:t>
      </w:r>
    </w:p>
    <w:p>
      <w:r>
        <w:t>A音频：utterance_id=U_DEMO_001，speaker_id=S_DEMO，source=demonstration，audio=null，split=excluded。正式数据填写真实音频、来源和匿名说话人信息。</w:t>
      </w:r>
    </w:p>
    <w:p>
      <w:r>
        <w:t>B音节及读音：假0.00至0.25秒、使0.25至0.50秒、伊0.50至0.75秒、来0.75至1.10秒，依次到走2.05至2.40秒；每音节附IPA与传统调号，未知写UNK，不猜读音。</w:t>
      </w:r>
    </w:p>
    <w:p>
      <w:r>
        <w:t>C词法：假使／伊／来／小李／就／要／走，附连接词、代词、动词、专名等词性和构词标记。</w:t>
      </w:r>
    </w:p>
    <w:p>
      <w:r>
        <w:t>D局部句法：NP(伊)、VP(来)、NP(小李)、VP(就 要 走)，标要与走的情态补足关系。</w:t>
      </w:r>
    </w:p>
    <w:p>
      <w:r>
        <w:t>E全句句法：S(COND(假使,伊来),MAIN(小李就要走))，记录条件范围和主句范围。程序用统一的音节半开区间保存，不混用字数和词数。</w:t>
      </w:r>
    </w:p>
    <w:p>
      <w:r>
        <w:t>F变调域／AP：假设“(假使)(伊)(来)(小李)(就要)(走)”。注意“就／要”词层分开，AP层可合；这是示意读法，不是理论答案。</w:t>
      </w:r>
    </w:p>
    <w:p>
      <w:r>
        <w:t>G音高事件及测量：示意“假使”首L*、后+H；句末%。另表记录来时长0.35秒、边界静音0秒、前后F0等，均为假数。真实音高目标须听辨与频谱核验。</w:t>
      </w:r>
    </w:p>
    <w:p>
      <w:r>
        <w:t>Hip、IP及Break：假设“[假使伊来]ip [小李就要走]ip”，整句一个IP；“来”后可标3而静音为0。另一个读法可同处标2，句法树不因此改变。</w:t>
      </w:r>
    </w:p>
    <w:p>
      <w:r>
        <w:t>I语境：记录提示“讲讲伊来以后会发生啥事体”、预期广焦点、实际突出未知、舒适语速。预期焦点与实际实现分开，不能拿提示代替录音事实。</w:t>
      </w:r>
    </w:p>
    <w:p>
      <w:r>
        <w:t>Praat通常放六条轨道：syllable、word、AP、tones、breaks、misc；结构、语境和元数据放对齐JSON。先自动生成粗音节／F0候选，人工修正，再批量导出时长、有效F0、每音节20点和静音。F0缺失记NA，不记0；喉塞闭塞不直接当停顿；最高音不直接标焦点；词汇化和语法身份独立判断。学生学习文档逐条给出反例和完整九层样例。</w:t>
      </w:r>
    </w:p>
    <w:p>
      <w:pPr>
        <w:pStyle w:val="1"/>
      </w:pPr>
      <w:r>
        <w:t>方法二 受控检验三套理论</w:t>
      </w:r>
    </w:p>
    <w:p>
      <w:r>
        <w:t>S&amp;S检验：以“阿爸勿欢喜姆妈个礼物”固定字串、改变广焦点／普通窄焦点／纠正焦点，冻结宾语NP结构后检查后焦点作用是否跨过“姆妈”的NP左边缘。若宾语仍保留词汇目标并在该边缘恢复，支持此处的范围预测；若纠正条件稳定越过NP去重音，挑战该强规则；如果只是整体降低而目标保留，不能称音系删调反证。</w:t>
      </w:r>
    </w:p>
    <w:p>
      <w:r>
        <w:t>端木检验：以“伊礼拜三来上海”改变焦点语境，比较“(礼拜三)”与“(礼拜)(三)”。若独立确认的非首语素突出伴随新AP及域首调实现，支持重音驱动重组；若只全词调域扩大，则焦点不必拆域，需要限定词汇化或语素条件。另对同一长单位控制语速，区分真正合域与仅缩短时长。</w:t>
      </w:r>
    </w:p>
    <w:p>
      <w:r>
        <w:t>Roberts检验：以“假使伊来，小李就要走”检查有无静音之外，是否还存在听感较强、延长、重置共同支持的ip；以三类问句检查词汇调之外的H%、L%、%及目标互动。若不同功能稳定要求不同末端事件，支持分层表示；若边界表现连续渐变，需考虑有序或连续模型而非强制离散ip。其焦点类型主张与S&amp;S共享同一批对照数据。</w:t>
      </w:r>
    </w:p>
    <w:p>
      <w:r>
        <w:t>小试采用4项各1个开发句族、每族3条件、2遍、4名中青年，共96条。通过自然度与标注一致性检查后，扩至每项6个全新句族；以12名中青年为预算则为1728条，年长4人为576条探索对照。人数尚待资源确认，不是已招募或经功效计算确定的规模。未显著不等于无效，报告说话人和句族层面的效应量、区间与个体差异。</w:t>
      </w:r>
    </w:p>
    <w:p>
      <w:r>
        <w:t>完整S&amp;S、D、R验证卡见配套学习文档第二部分，包括每项假设、操作、可能结果、替代解释与理论延伸。</w:t>
      </w:r>
    </w:p>
    <w:p>
      <w:pPr>
        <w:pStyle w:val="1"/>
      </w:pPr>
      <w:r>
        <w:t>方法三 标注价值与神经网络</w:t>
      </w:r>
    </w:p>
    <w:p>
      <w:r>
        <w:t>保留L0纯文本、L1词界、L2词性与构词、L3局部句法和构式、L4全句结构五种输入条件。九层是数据记录模块，L0至L4是模型可见信息的消融条件，两者不能混为九级网络。</w:t>
      </w:r>
    </w:p>
    <w:p>
      <w:r>
        <w:t>先训练一个小型边界模型：字／音节表示经双向LSTM，每个相邻位置拼接左右表示、词长、调类及结构特征，经分类头预测低层域和较高层边界。可用小型Transformer作后续比较，先不从零训练大型语言模型。H=3或4应同时是低层域边界，通过一致性检查保证层级合法。</w:t>
      </w:r>
    </w:p>
    <w:p>
      <w:r>
        <w:t>建议起始设置为128维字符嵌入、每方向128维的一层BiLSTM、0.2 dropout、Adam学习率0.001、batch16，最多50轮、开发集连续5轮不提升则停止。固定3个种子比较；这些是起始配置，不是已调好的最优参数。主任务预测是否为AP边界，ip/IP和AM类别仅在有可靠标签的子集上加入辅助损失，不为缺标样本制造负例。</w:t>
      </w:r>
    </w:p>
    <w:p>
      <w:r>
        <w:t>人工结构与自动结构分别测试；自动结构训练采用折外预测或冻结parser，记录误差传播。语境条件分为纯文本、可见前文、人工预先指定焦点与语速三个上限不同的系统。目标录音的F0、实际时长、音高事件不能输入文本前端。神经消融只能说明预测价值，不能单独证明音系机制。</w:t>
      </w:r>
    </w:p>
    <w:p>
      <w:r>
        <w:t>主要指标为音节间AP边界F1、ip/IP边界F1、整句完全匹配、候选覆盖与不合理候选率。不要将自动识别时间偏差与文本边界位置准确率混在一起。F0生成作为后续辅助验证，沿用现有TTS，比较人工前端输入与自动前端输入的听辨差距。</w:t>
      </w:r>
    </w:p>
    <w:p>
      <w:pPr>
        <w:pStyle w:val="1"/>
      </w:pPr>
      <w:r>
        <w:t>方法四 数据归类与盲测</w:t>
      </w:r>
    </w:p>
    <w:p>
      <w:r>
        <w:t>自然会话为主要目标领域；人工设计后真人录音用于因子控制及补覆盖；繁花是表演语体，单独记录演员／角色、集数和场景。三者分开报告，合并训练只作为来源消融实验。机器生成文本和TTS合成音频另记synthetic，不作自然语音gold或最终听辨真值。</w:t>
      </w:r>
    </w:p>
    <w:p>
      <w:r>
        <w:t>在转写和标注前，先按会话、说话人与句族确定分组。自然语料60分钟可预留约36分钟训练、12分钟开发、12分钟最终测试，时间是目标而非必须切齐；优先保证分组独立。对话参与者跨会话重复时将相关会话作为连通组放同一侧。说话人不足时明确改为同人未见会话评测，不冒称跨人泛化。</w:t>
      </w:r>
    </w:p>
    <w:p>
      <w:r>
        <w:t>受控材料中同字串的所有语境、重复与近似改写属于同一句族，不能跨训练测试。理论实验可在同人同句上比较条件，模型泛化另留未见句族。可将每项6个新族预定4族训练、1族开发、1族最终测试，并明确词族数小、区间可能很宽；与未见说话人评测分别列矩阵，不声称一个简单随机划分同时解决两种泛化。</w:t>
      </w:r>
    </w:p>
    <w:p>
      <w:r>
        <w:t>繁花初期保留为域外审阅及测试材料；若后续用于训练，先划独立训练场景，保证演员、相邻情节及重复台词不泄漏到封存测试，并另报是否为未见演员。版权和来源范围按实际使用记录，不把电视剧表演结论外推自然会话。</w:t>
      </w:r>
    </w:p>
    <w:p>
      <w:pPr>
        <w:pStyle w:val="1"/>
      </w:pPr>
      <w:r>
        <w:t>方法五 人工与AI协同</w:t>
      </w:r>
    </w:p>
    <w:p>
      <w:r>
        <w:t>将难度相近的不同句族随机分给纯人工与AI预标辅助条件；同一人不在两条件重复看同一句。不同学生交叉承担条件，平衡熟练度。独立质检人员不知处理方式，记录每条合格产出的总人工分钟、返工次数、各层错误率和不确定性。</w:t>
      </w:r>
    </w:p>
    <w:p>
      <w:r>
        <w:t>例如人工60分钟完成8条、AI辅助完成14条，但独立质检分别合格8条和7条，则不能说AI更高效。以合格产出和返工后的总时间评价；AI生成建议数不是成果。数字仅示意。</w:t>
      </w:r>
    </w:p>
    <w:p>
      <w:pPr>
        <w:pStyle w:val="1"/>
      </w:pPr>
      <w:r>
        <w:t>近期任务与成果</w:t>
      </w:r>
    </w:p>
    <w:p>
      <w:r>
        <w:t>第1至2周完成文献综述、母语者招募确认、自然会话收集安排和材料审阅，学习图31、32、30、38及九层示例。第3至4周完成96条小试与双标，冻结v1标签和数据分组。第5至8周争取完成60分钟自然语料与核心受控录音，计算机组搭建可重跑提取和模型基线。第9至12周做消融、受控理论分析、独立听辨、人机时间实验和报告。</w:t>
      </w:r>
    </w:p>
    <w:p>
      <w:r>
        <w:t>预计交付：有来源的自然语料与受控材料、分层标注规范、可审计规则及网络基线、构式信息贡献表、三套理论的支持／限制证据、TTS前端示例。未达到稳定标注时先缩小模型目标，不把不可靠标签大量导入训练。</w:t>
      </w:r>
    </w:p>
    <w:p>
      <w:r>
        <w:t>核心文献：Selkirk与Shen 1990，Prosodic domains in Shanghai Chinese，pp.313至337；Duanmu 2005稿，The Tone-Syntax Interface in Chinese，§4.2；Roberts 2020，An Autosegmental Metrical Model of Shanghainese Tone and Intonation，§4.1至4.7、第5章及§6.3至6.4。延伸方法参考Sun与Chen 2015、Selkirk 2009公开稿／2011章、Xu与Prom-on 2014。</w:t>
      </w:r>
    </w:p>
    <w:sectPr w:rsidR="00483E13" w:rsidRPr="001C24C0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4C3838"/>
    <w:multiLevelType w:val="multilevel"/>
    <w:tmpl w:val="144C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79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C0"/>
    <w:rsid w:val="001C24C0"/>
    <w:rsid w:val="00483E13"/>
    <w:rsid w:val="00812D22"/>
    <w:rsid w:val="00921F5A"/>
    <w:rsid w:val="009E188C"/>
    <w:rsid w:val="00A513D7"/>
    <w:rsid w:val="00B9702A"/>
    <w:rsid w:val="00C30657"/>
    <w:rsid w:val="00C507A4"/>
    <w:rsid w:val="00CE4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97A50"/>
  <w15:chartTrackingRefBased/>
  <w15:docId w15:val="{2199E69D-A1B5-1043-A515-68CF828D5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283" w:lineRule="auto"/>
      <w:jc w:val="both"/>
    </w:pPr>
    <w:rPr>
      <w:rFonts w:ascii="Arial" w:hAnsi="Arial" w:eastAsia="Microsoft YaHei"/>
      <w:color w:val="000000"/>
      <w:sz w:val="22"/>
    </w:rPr>
  </w:style>
  <w:style w:type="paragraph" w:styleId="1">
    <w:name w:val="heading 1"/>
    <w:basedOn w:val="a"/>
    <w:next w:val="a"/>
    <w:link w:val="10"/>
    <w:uiPriority w:val="9"/>
    <w:qFormat/>
    <w:rsid w:val="001C24C0"/>
    <w:pPr>
      <w:keepNext/>
      <w:keepLines/>
      <w:spacing w:before="480" w:after="120" w:line="283" w:lineRule="auto"/>
      <w:outlineLvl w:val="0"/>
    </w:pPr>
    <w:rPr>
      <w:rFonts w:asciiTheme="majorHAnsi" w:eastAsiaTheme="majorEastAsia" w:hAnsiTheme="majorHAnsi" w:cstheme="majorBidi" w:ascii="Arial" w:hAnsi="Arial" w:eastAsia="Microsoft YaHei"/>
      <w:color w:val="000000"/>
      <w:sz w:val="3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4C0"/>
    <w:pPr>
      <w:keepNext/>
      <w:keepLines/>
      <w:spacing w:before="160" w:after="120" w:line="283" w:lineRule="auto"/>
      <w:outlineLvl w:val="1"/>
    </w:pPr>
    <w:rPr>
      <w:rFonts w:asciiTheme="majorHAnsi" w:eastAsiaTheme="majorEastAsia" w:hAnsiTheme="majorHAnsi" w:cstheme="majorBidi" w:ascii="Arial" w:hAnsi="Arial" w:eastAsia="Microsoft YaHei"/>
      <w:color w:val="000000"/>
      <w:sz w:val="25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4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4C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4C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4C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4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4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4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24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2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2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24C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24C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24C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24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24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24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24C0"/>
    <w:pPr>
      <w:keepNext/>
      <w:spacing w:after="120" w:line="283" w:lineRule="auto"/>
      <w:contextualSpacing/>
      <w:jc w:val="center"/>
    </w:pPr>
    <w:rPr>
      <w:rFonts w:asciiTheme="majorHAnsi" w:eastAsiaTheme="majorEastAsia" w:hAnsiTheme="majorHAnsi" w:cstheme="majorBidi" w:ascii="Arial" w:hAnsi="Arial" w:eastAsia="Microsoft YaHei"/>
      <w:color w:val="000000"/>
      <w:spacing w:val="-10"/>
      <w:kern w:val="28"/>
      <w:sz w:val="40"/>
      <w:szCs w:val="56"/>
    </w:rPr>
  </w:style>
  <w:style w:type="character" w:customStyle="1" w:styleId="a4">
    <w:name w:val="标题 字符"/>
    <w:basedOn w:val="a0"/>
    <w:link w:val="a3"/>
    <w:uiPriority w:val="10"/>
    <w:rsid w:val="001C2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4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24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24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24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24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24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2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24C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2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15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15927">
                  <w:marLeft w:val="210"/>
                  <w:marRight w:val="21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77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47528">
                  <w:marLeft w:val="210"/>
                  <w:marRight w:val="21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2026-09-07T12:11:00Z</dcterms:created>
  <dcterms:modified xsi:type="dcterms:W3CDTF">2026-09-07T12:33:00Z</dcterms:modified>
</cp:coreProperties>
</file>