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p>
    <w:p>
      <w:pPr>
        <w:jc w:val="center"/>
      </w:pPr>
      <w:r>
        <w:rPr>
          <w:rFonts w:ascii="Times New Roman" w:cs="Times New Roman" w:eastAsia="Times New Roman" w:hAnsi="Times New Roman"/>
          <w:b/>
          <w:bCs/>
          <w:color w:val="1F3864"/>
          <w:sz w:val="56"/>
          <w:szCs w:val="56"/>
        </w:rPr>
        <w:t xml:space="preserve">LUMINOMATICS (LUM)</w:t>
      </w:r>
    </w:p>
    <w:p>
      <w:pPr>
        <w:spacing w:after="40" w:before="60"/>
        <w:jc w:val="center"/>
      </w:pPr>
      <w:r>
        <w:rPr>
          <w:rFonts w:ascii="Times New Roman" w:cs="Times New Roman" w:eastAsia="Times New Roman" w:hAnsi="Times New Roman"/>
          <w:color w:val="2E75B6"/>
          <w:sz w:val="36"/>
          <w:szCs w:val="36"/>
        </w:rPr>
        <w:t xml:space="preserve">Validation Case Study</w:t>
      </w:r>
    </w:p>
    <w:p>
      <w:pPr>
        <w:pBdr>
          <w:bottom w:val="single" w:color="2E75B6" w:sz="6" w:space="1"/>
        </w:pBdr>
        <w:spacing w:after="120" w:before="120"/>
      </w:pPr>
    </w:p>
    <w:p>
      <w:pPr>
        <w:spacing w:after="60" w:before="80"/>
        <w:jc w:val="center"/>
      </w:pPr>
      <w:r>
        <w:rPr>
          <w:rFonts w:ascii="Times New Roman" w:cs="Times New Roman" w:eastAsia="Times New Roman" w:hAnsi="Times New Roman"/>
          <w:b/>
          <w:bCs/>
          <w:color w:val="1F3864"/>
          <w:sz w:val="32"/>
          <w:szCs w:val="32"/>
        </w:rPr>
        <w:t xml:space="preserve">Social Priming Psychology (2005–2020):</w:t>
      </w:r>
    </w:p>
    <w:p>
      <w:pPr>
        <w:spacing w:after="20" w:before="20"/>
        <w:jc w:val="center"/>
      </w:pPr>
      <w:r>
        <w:rPr>
          <w:rFonts w:ascii="Times New Roman" w:cs="Times New Roman" w:eastAsia="Times New Roman" w:hAnsi="Times New Roman"/>
          <w:color w:val="595959"/>
          <w:sz w:val="26"/>
          <w:szCs w:val="26"/>
        </w:rPr>
        <w:t xml:space="preserve">Temporal State Classification via LUM-PE vO.2026-02</w:t>
      </w:r>
    </w:p>
    <w:p>
      <w:pPr>
        <w:spacing w:after="80" w:before="300"/>
      </w:pPr>
    </w:p>
    <w:p>
      <w:pPr>
        <w:jc w:val="center"/>
      </w:pPr>
      <w:r>
        <w:rPr>
          <w:rFonts w:ascii="Times New Roman" w:cs="Times New Roman" w:eastAsia="Times New Roman" w:hAnsi="Times New Roman"/>
          <w:b/>
          <w:bCs/>
          <w:color w:val="1F3864"/>
          <w:sz w:val="26"/>
          <w:szCs w:val="26"/>
        </w:rPr>
        <w:t xml:space="preserve">Julio David Rojas Aguayo</w:t>
      </w:r>
    </w:p>
    <w:p>
      <w:pPr>
        <w:spacing w:before="40"/>
        <w:jc w:val="center"/>
      </w:pPr>
      <w:r>
        <w:rPr>
          <w:rFonts w:ascii="Times New Roman" w:cs="Times New Roman" w:eastAsia="Times New Roman" w:hAnsi="Times New Roman"/>
          <w:color w:val="595959"/>
          <w:sz w:val="22"/>
          <w:szCs w:val="22"/>
        </w:rPr>
        <w:t xml:space="preserve">Independent Researcher — Laboratorio de Luminómatica</w:t>
      </w:r>
    </w:p>
    <w:p>
      <w:pPr>
        <w:spacing w:before="20"/>
        <w:jc w:val="center"/>
      </w:pPr>
      <w:r>
        <w:rPr>
          <w:rFonts w:ascii="Times New Roman" w:cs="Times New Roman" w:eastAsia="Times New Roman" w:hAnsi="Times New Roman"/>
          <w:color w:val="595959"/>
          <w:sz w:val="22"/>
          <w:szCs w:val="22"/>
        </w:rPr>
        <w:t xml:space="preserve">Ciudad de México, México</w:t>
      </w:r>
    </w:p>
    <w:p>
      <w:pPr>
        <w:spacing w:before="20"/>
        <w:jc w:val="center"/>
      </w:pPr>
      <w:r>
        <w:rPr>
          <w:rFonts w:ascii="Times New Roman" w:cs="Times New Roman" w:eastAsia="Times New Roman" w:hAnsi="Times New Roman"/>
          <w:color w:val="2E75B6"/>
          <w:sz w:val="20"/>
          <w:szCs w:val="20"/>
        </w:rPr>
        <w:t xml:space="preserve">ORCID: 0009-0001-0800-5303</w:t>
      </w:r>
    </w:p>
    <w:p>
      <w:pPr>
        <w:spacing w:before="20"/>
        <w:jc w:val="center"/>
      </w:pPr>
      <w:r>
        <w:rPr>
          <w:rFonts w:ascii="Times New Roman" w:cs="Times New Roman" w:eastAsia="Times New Roman" w:hAnsi="Times New Roman"/>
          <w:color w:val="595959"/>
          <w:sz w:val="22"/>
          <w:szCs w:val="22"/>
        </w:rPr>
        <w:t xml:space="preserve">Marzo 2026</w:t>
      </w:r>
    </w:p>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BFBFBF" w:sz="0"/>
              <w:left w:val="single" w:color="2E75B6" w:sz="12"/>
              <w:bottom w:val="none" w:color="BFBFBF" w:sz="0"/>
              <w:right w:val="none" w:color="BFBFBF" w:sz="0"/>
            </w:tcBorders>
            <w:shd w:fill="EBF3FB" w:val="clear"/>
            <w:tcMar>
              <w:top w:type="dxa" w:w="100"/>
              <w:left w:type="dxa" w:w="180"/>
              <w:bottom w:type="dxa" w:w="100"/>
              <w:right w:type="dxa" w:w="180"/>
            </w:tcMar>
          </w:tcPr>
          <w:p>
            <w:pPr>
              <w:spacing w:after="30" w:before="30"/>
            </w:pPr>
            <w:r>
              <w:rPr>
                <w:rFonts w:ascii="Times New Roman" w:cs="Times New Roman" w:eastAsia="Times New Roman" w:hAnsi="Times New Roman"/>
                <w:color w:val="2E75B6"/>
                <w:sz w:val="20"/>
                <w:szCs w:val="20"/>
              </w:rPr>
              <w:t xml:space="preserve">Pack: SOC_DiD_v3   •   N = 347 studies   •   3 temporal windows (5-year each)</w:t>
            </w:r>
          </w:p>
          <w:p>
            <w:pPr>
              <w:spacing w:after="30" w:before="30"/>
            </w:pPr>
            <w:r>
              <w:rPr>
                <w:rFonts w:ascii="Times New Roman" w:cs="Times New Roman" w:eastAsia="Times New Roman" w:hAnsi="Times New Roman"/>
                <w:color w:val="2E75B6"/>
                <w:sz w:val="20"/>
                <w:szCs w:val="20"/>
              </w:rPr>
              <w:t xml:space="preserve">AUC = 0.87   •   ECE = 0.041   •   Brier = 0.138</w:t>
            </w:r>
          </w:p>
          <w:p>
            <w:pPr>
              <w:spacing w:after="30" w:before="30"/>
            </w:pPr>
            <w:r>
              <w:rPr>
                <w:rFonts w:ascii="Times New Roman" w:cs="Times New Roman" w:eastAsia="Times New Roman" w:hAnsi="Times New Roman"/>
                <w:color w:val="2E75B6"/>
                <w:sz w:val="20"/>
                <w:szCs w:val="20"/>
              </w:rPr>
              <w:t xml:space="preserve">State trajectory: GREEN (W1) → AMBER (W2) → RED (W3)</w:t>
            </w:r>
          </w:p>
          <w:p>
            <w:pPr>
              <w:spacing w:after="30" w:before="30"/>
            </w:pPr>
            <w:r>
              <w:rPr>
                <w:rFonts w:ascii="Times New Roman" w:cs="Times New Roman" w:eastAsia="Times New Roman" w:hAnsi="Times New Roman"/>
                <w:color w:val="2E75B6"/>
                <w:sz w:val="20"/>
                <w:szCs w:val="20"/>
              </w:rPr>
              <w:t xml:space="preserve">Bundles SHA-256 fingerprinted and publicly available</w:t>
            </w:r>
          </w:p>
        </w:tc>
      </w:tr>
    </w:tbl>
    <w:p>
      <w:r>
        <w:br w:type="page"/>
      </w:r>
    </w:p>
    <w:p>
      <w:pPr>
        <w:pStyle w:val="Heading1"/>
        <w:spacing w:after="160" w:before="400"/>
      </w:pPr>
      <w:r>
        <w:rPr>
          <w:rFonts w:ascii="Times New Roman" w:cs="Times New Roman" w:eastAsia="Times New Roman" w:hAnsi="Times New Roman"/>
          <w:b/>
          <w:bCs/>
          <w:color w:val="1F3864"/>
          <w:sz w:val="32"/>
          <w:szCs w:val="32"/>
        </w:rPr>
        <w:t xml:space="preserve">Abstract</w:t>
      </w:r>
    </w:p>
    <w:p>
      <w:pPr>
        <w:pBdr>
          <w:bottom w:val="single" w:color="2E75B6" w:sz="6" w:space="1"/>
        </w:pBdr>
        <w:spacing w:after="120" w:before="120"/>
      </w:pPr>
    </w:p>
    <w:p>
      <w:pPr>
        <w:spacing w:after="60" w:before="60" w:line="276"/>
        <w:jc w:val="both"/>
      </w:pPr>
      <w:r>
        <w:rPr>
          <w:rFonts w:ascii="Times New Roman" w:cs="Times New Roman" w:eastAsia="Times New Roman" w:hAnsi="Times New Roman"/>
          <w:b w:val="false"/>
          <w:bCs w:val="false"/>
          <w:color w:val="1F3864"/>
          <w:sz w:val="22"/>
          <w:szCs w:val="22"/>
        </w:rPr>
        <w:t xml:space="preserve">We apply Luminomatics (LUM) vΩ.2026-02 to evaluate the temporal closure trajectory of social priming psychology from 2005 to 2020—a field widely acknowledged as a canonical case of scientific non-closure. Using the SOC_DiD_v3 domain pack, we analyze 347 studies across three five-year temporal windows and compute eight core LUM indices (IPU, CPV, A_norm, κ_conf, Cons, Conf, Coverage, Shadow). The framework correctly classifies all three windows: W1 (2005–2010) as GREEN (CLARION, LUM = 0.847), W2 (2011–2015) as AMBER (PSNC, LUM = 0.521), and W3 (2016–2020) as RED (no-closure, LUM = 0.298), achieving AUC = 0.87 and ECE = 0.041. Critically, the κ_conf index spiked from 0.27 to 0.64 in W2, providing an early quantitative signal of crisis approximately two years before the replication failure reached mainstream scientific consensus. This case demonstrates LUM’s capacity for prospective closure evaluation and early warning in contested scientific fields. All bundles are SHA-256 fingerprinted and publicly available alongside the LUM-PE implementation.</w:t>
      </w:r>
    </w:p>
    <w:p>
      <w:pPr>
        <w:spacing w:after="80" w:before="80"/>
      </w:pPr>
    </w:p>
    <w:p>
      <w:pPr>
        <w:spacing w:after="60" w:before="60" w:line="276"/>
        <w:jc w:val="both"/>
      </w:pPr>
      <w:r>
        <w:rPr>
          <w:rFonts w:ascii="Times New Roman" w:cs="Times New Roman" w:eastAsia="Times New Roman" w:hAnsi="Times New Roman"/>
          <w:b/>
          <w:bCs/>
          <w:color w:val="1F3864"/>
          <w:sz w:val="22"/>
          <w:szCs w:val="22"/>
        </w:rPr>
        <w:t xml:space="preserve">Keywords: </w:t>
      </w:r>
      <w:r>
        <w:rPr>
          <w:rFonts w:ascii="Times New Roman" w:cs="Times New Roman" w:eastAsia="Times New Roman" w:hAnsi="Times New Roman"/>
          <w:b w:val="false"/>
          <w:bCs w:val="false"/>
          <w:color w:val="1F3864"/>
          <w:sz w:val="22"/>
          <w:szCs w:val="22"/>
        </w:rPr>
        <w:t xml:space="preserve">scientific closure; social priming; replication crisis; Luminomatics; metacience; CLARION; PSNC; evidence evaluation</w:t>
      </w:r>
    </w:p>
    <w:p>
      <w:pPr>
        <w:spacing w:after="60" w:before="60" w:line="276"/>
        <w:jc w:val="both"/>
      </w:pPr>
      <w:r>
        <w:rPr>
          <w:rFonts w:ascii="Times New Roman" w:cs="Times New Roman" w:eastAsia="Times New Roman" w:hAnsi="Times New Roman"/>
          <w:b/>
          <w:bCs/>
          <w:color w:val="1F3864"/>
          <w:sz w:val="22"/>
          <w:szCs w:val="22"/>
        </w:rPr>
        <w:t xml:space="preserve">Pack: </w:t>
      </w:r>
      <w:r>
        <w:rPr>
          <w:rFonts w:ascii="Times New Roman" w:cs="Times New Roman" w:eastAsia="Times New Roman" w:hAnsi="Times New Roman"/>
          <w:b w:val="false"/>
          <w:bCs w:val="false"/>
          <w:color w:val="1F3864"/>
          <w:sz w:val="22"/>
          <w:szCs w:val="22"/>
        </w:rPr>
        <w:t xml:space="preserve">SOC_DiD_v3   </w:t>
      </w:r>
      <w:r>
        <w:rPr>
          <w:rFonts w:ascii="Times New Roman" w:cs="Times New Roman" w:eastAsia="Times New Roman" w:hAnsi="Times New Roman"/>
          <w:b/>
          <w:bCs/>
          <w:color w:val="1F3864"/>
          <w:sz w:val="22"/>
          <w:szCs w:val="22"/>
        </w:rPr>
        <w:t xml:space="preserve">Version: </w:t>
      </w:r>
      <w:r>
        <w:rPr>
          <w:rFonts w:ascii="Times New Roman" w:cs="Times New Roman" w:eastAsia="Times New Roman" w:hAnsi="Times New Roman"/>
          <w:b w:val="false"/>
          <w:bCs w:val="false"/>
          <w:color w:val="1F3864"/>
          <w:sz w:val="22"/>
          <w:szCs w:val="22"/>
        </w:rPr>
        <w:t xml:space="preserve">LUM-PE vΩ.2026-02   </w:t>
      </w:r>
      <w:r>
        <w:rPr>
          <w:rFonts w:ascii="Times New Roman" w:cs="Times New Roman" w:eastAsia="Times New Roman" w:hAnsi="Times New Roman"/>
          <w:b/>
          <w:bCs/>
          <w:color w:val="1F3864"/>
          <w:sz w:val="22"/>
          <w:szCs w:val="22"/>
        </w:rPr>
        <w:t xml:space="preserve">ORCID: </w:t>
      </w:r>
      <w:r>
        <w:rPr>
          <w:rFonts w:ascii="Times New Roman" w:cs="Times New Roman" w:eastAsia="Times New Roman" w:hAnsi="Times New Roman"/>
          <w:b w:val="false"/>
          <w:bCs w:val="false"/>
          <w:color w:val="1F3864"/>
          <w:sz w:val="22"/>
          <w:szCs w:val="22"/>
        </w:rPr>
        <w:t xml:space="preserve">0009-0001-0800-5303</w:t>
      </w:r>
    </w:p>
    <w:p>
      <w:r>
        <w:br w:type="page"/>
      </w:r>
    </w:p>
    <w:p>
      <w:pPr>
        <w:pStyle w:val="Heading1"/>
        <w:spacing w:after="160" w:before="400"/>
      </w:pPr>
      <w:r>
        <w:rPr>
          <w:rFonts w:ascii="Times New Roman" w:cs="Times New Roman" w:eastAsia="Times New Roman" w:hAnsi="Times New Roman"/>
          <w:b/>
          <w:bCs/>
          <w:color w:val="1F3864"/>
          <w:sz w:val="32"/>
          <w:szCs w:val="32"/>
        </w:rPr>
        <w:t xml:space="preserve">1. Introduction</w:t>
      </w:r>
    </w:p>
    <w:p>
      <w:pPr>
        <w:pBdr>
          <w:bottom w:val="single" w:color="2E75B6" w:sz="6" w:space="1"/>
        </w:pBdr>
        <w:spacing w:after="120" w:before="120"/>
      </w:pPr>
    </w:p>
    <w:p>
      <w:pPr>
        <w:spacing w:after="60" w:before="60" w:line="276"/>
        <w:jc w:val="both"/>
      </w:pPr>
      <w:r>
        <w:rPr>
          <w:rFonts w:ascii="Times New Roman" w:cs="Times New Roman" w:eastAsia="Times New Roman" w:hAnsi="Times New Roman"/>
          <w:b w:val="false"/>
          <w:bCs w:val="false"/>
          <w:color w:val="1F3864"/>
          <w:sz w:val="22"/>
          <w:szCs w:val="22"/>
        </w:rPr>
        <w:t xml:space="preserve">The social priming literature represents one of the most thoroughly documented cases of scientific field-level non-closure in contemporary social psychology. Over the period 2005–2020, the field transitioned from apparent consensus—where priming effects on social behavior were widely accepted and cited in policy contexts—to acknowledged crisis, driven by high-profile fraud cases, systematic replication failures, and methodological critique.</w:t>
      </w:r>
    </w:p>
    <w:p>
      <w:pPr>
        <w:spacing w:after="80" w:before="40"/>
      </w:pPr>
    </w:p>
    <w:p>
      <w:pPr>
        <w:spacing w:after="60" w:before="60" w:line="276"/>
        <w:jc w:val="both"/>
      </w:pPr>
      <w:r>
        <w:rPr>
          <w:rFonts w:ascii="Times New Roman" w:cs="Times New Roman" w:eastAsia="Times New Roman" w:hAnsi="Times New Roman"/>
          <w:b w:val="false"/>
          <w:bCs w:val="false"/>
          <w:color w:val="1F3864"/>
          <w:sz w:val="22"/>
          <w:szCs w:val="22"/>
        </w:rPr>
        <w:t xml:space="preserve">This trajectory makes social priming an ideal validation case for Luminomatics (LUM). An adequate closure evaluation framework should: (a) classify the field as closed during its pre-crisis period, (b) detect the onset of non-closure as evidence accumulates, and (c) confirm non-closure during the acknowledged crisis period. Crucially, a well-calibrated framework should exhibit these transitions without the benefit of hindsight—the index trajectories should be computable from the evidence available at each temporal window.</w:t>
      </w:r>
    </w:p>
    <w:p>
      <w:pPr>
        <w:spacing w:after="80" w:before="40"/>
      </w:pPr>
    </w:p>
    <w:p>
      <w:pPr>
        <w:spacing w:after="60" w:before="60" w:line="276"/>
        <w:jc w:val="both"/>
      </w:pPr>
      <w:r>
        <w:rPr>
          <w:rFonts w:ascii="Times New Roman" w:cs="Times New Roman" w:eastAsia="Times New Roman" w:hAnsi="Times New Roman"/>
          <w:b w:val="false"/>
          <w:bCs w:val="false"/>
          <w:color w:val="1F3864"/>
          <w:sz w:val="22"/>
          <w:szCs w:val="22"/>
        </w:rPr>
        <w:t xml:space="preserve">We apply LUM-PE vΩ.2026-02 with the SOC_DiD_v3 domain pack to 347 studies drawn from PsycINFO, Web of Science, and Registered Replication Reports, divided into three five-year windows. We compute eight LUM indices per window, apply the LUM decision rule, and compare output states against independent expert consensus.</w:t>
      </w:r>
    </w:p>
    <w:p>
      <w:pPr>
        <w:spacing w:after="8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BFBFBF" w:sz="0"/>
              <w:left w:val="single" w:color="2E75B6" w:sz="12"/>
              <w:bottom w:val="none" w:color="BFBFBF" w:sz="0"/>
              <w:right w:val="none" w:color="BFBFBF" w:sz="0"/>
            </w:tcBorders>
            <w:shd w:fill="EBF3FB" w:val="clear"/>
            <w:tcMar>
              <w:top w:type="dxa" w:w="100"/>
              <w:left w:type="dxa" w:w="180"/>
              <w:bottom w:type="dxa" w:w="100"/>
              <w:right w:type="dxa" w:w="180"/>
            </w:tcMar>
          </w:tcPr>
          <w:p>
            <w:pPr>
              <w:spacing w:after="30" w:before="30"/>
            </w:pPr>
            <w:r>
              <w:rPr>
                <w:rFonts w:ascii="Times New Roman" w:cs="Times New Roman" w:eastAsia="Times New Roman" w:hAnsi="Times New Roman"/>
                <w:color w:val="2E75B6"/>
                <w:sz w:val="20"/>
                <w:szCs w:val="20"/>
              </w:rPr>
              <w:t xml:space="preserve">NOTA DE AUDITABILIDAD: Los índices primarios (IPU, CPV, A_norm, κ_conf) provienen del análisis</w:t>
            </w:r>
          </w:p>
          <w:p>
            <w:pPr>
              <w:spacing w:after="30" w:before="30"/>
            </w:pPr>
            <w:r>
              <w:rPr>
                <w:rFonts w:ascii="Times New Roman" w:cs="Times New Roman" w:eastAsia="Times New Roman" w:hAnsi="Times New Roman"/>
                <w:color w:val="2E75B6"/>
                <w:sz w:val="20"/>
                <w:szCs w:val="20"/>
              </w:rPr>
              <w:t xml:space="preserve">del corpus descrito en LUM_Paper_DEFINITIVO_v2 (Rojas Aguayo, 2026). Los índices derivados</w:t>
            </w:r>
          </w:p>
          <w:p>
            <w:pPr>
              <w:spacing w:after="30" w:before="30"/>
            </w:pPr>
            <w:r>
              <w:rPr>
                <w:rFonts w:ascii="Times New Roman" w:cs="Times New Roman" w:eastAsia="Times New Roman" w:hAnsi="Times New Roman"/>
                <w:color w:val="2E75B6"/>
                <w:sz w:val="20"/>
                <w:szCs w:val="20"/>
              </w:rPr>
              <w:t xml:space="preserve">(Cons, Conf, Coverage, Shadow) se calculan contextualmente a partir de la misma literatura.</w:t>
            </w:r>
          </w:p>
          <w:p>
            <w:pPr>
              <w:spacing w:after="30" w:before="30"/>
            </w:pPr>
            <w:r>
              <w:rPr>
                <w:rFonts w:ascii="Times New Roman" w:cs="Times New Roman" w:eastAsia="Times New Roman" w:hAnsi="Times New Roman"/>
                <w:color w:val="2E75B6"/>
                <w:sz w:val="20"/>
                <w:szCs w:val="20"/>
              </w:rPr>
              <w:t xml:space="preserve">El lum_score reportado corresponde al p_cal del modelo calibrado SOC_DiD_v3.</w:t>
            </w:r>
          </w:p>
        </w:tc>
      </w:tr>
    </w:tbl>
    <w:p>
      <w:pPr>
        <w:pStyle w:val="Heading1"/>
        <w:spacing w:after="160" w:before="400"/>
      </w:pPr>
      <w:r>
        <w:rPr>
          <w:rFonts w:ascii="Times New Roman" w:cs="Times New Roman" w:eastAsia="Times New Roman" w:hAnsi="Times New Roman"/>
          <w:b/>
          <w:bCs/>
          <w:color w:val="1F3864"/>
          <w:sz w:val="32"/>
          <w:szCs w:val="32"/>
        </w:rPr>
        <w:t xml:space="preserve">2. The Social Priming Field: A Brief History</w:t>
      </w:r>
    </w:p>
    <w:p>
      <w:pPr>
        <w:pBdr>
          <w:bottom w:val="single" w:color="2E75B6" w:sz="6" w:space="1"/>
        </w:pBdr>
        <w:spacing w:after="120" w:before="120"/>
      </w:pPr>
    </w:p>
    <w:p>
      <w:pPr>
        <w:pStyle w:val="Heading2"/>
        <w:spacing w:after="120" w:before="280"/>
      </w:pPr>
      <w:r>
        <w:rPr>
          <w:rFonts w:ascii="Times New Roman" w:cs="Times New Roman" w:eastAsia="Times New Roman" w:hAnsi="Times New Roman"/>
          <w:b/>
          <w:bCs/>
          <w:color w:val="2E75B6"/>
          <w:sz w:val="26"/>
          <w:szCs w:val="26"/>
        </w:rPr>
        <w:t xml:space="preserve">2.1 The Golden Era (2005–2010)</w:t>
      </w:r>
    </w:p>
    <w:p>
      <w:pPr>
        <w:spacing w:after="60" w:before="60" w:line="276"/>
        <w:jc w:val="both"/>
      </w:pPr>
      <w:r>
        <w:rPr>
          <w:rFonts w:ascii="Times New Roman" w:cs="Times New Roman" w:eastAsia="Times New Roman" w:hAnsi="Times New Roman"/>
          <w:b w:val="false"/>
          <w:bCs w:val="false"/>
          <w:color w:val="1F3864"/>
          <w:sz w:val="22"/>
          <w:szCs w:val="22"/>
        </w:rPr>
        <w:t xml:space="preserve">The early period was characterized by high publication rates, strong claimed effect sizes, and minimal replication attempts. Work by Bargh, Chen, Dijksterhuis, and others established what appeared to be robust behavioral priming effects—exposure to elderly-related words slowing walking speed, exposure to achievement concepts improving performance, and similar demonstrations. The field enjoyed high citation rates and policy interest. Methodological consensus was high, with standard laboratory paradigms accepted across research groups. IPU remained high (0.965) as no major defects had been publicly identified.</w:t>
      </w:r>
    </w:p>
    <w:p>
      <w:pPr>
        <w:pStyle w:val="Heading2"/>
        <w:spacing w:after="120" w:before="280"/>
      </w:pPr>
      <w:r>
        <w:rPr>
          <w:rFonts w:ascii="Times New Roman" w:cs="Times New Roman" w:eastAsia="Times New Roman" w:hAnsi="Times New Roman"/>
          <w:b/>
          <w:bCs/>
          <w:color w:val="2E75B6"/>
          <w:sz w:val="26"/>
          <w:szCs w:val="26"/>
        </w:rPr>
        <w:t xml:space="preserve">2.2 The Emerging Crisis (2011–2015)</w:t>
      </w:r>
    </w:p>
    <w:p>
      <w:pPr>
        <w:spacing w:after="60" w:before="60" w:line="276"/>
        <w:jc w:val="both"/>
      </w:pPr>
      <w:r>
        <w:rPr>
          <w:rFonts w:ascii="Times New Roman" w:cs="Times New Roman" w:eastAsia="Times New Roman" w:hAnsi="Times New Roman"/>
          <w:b w:val="false"/>
          <w:bCs w:val="false"/>
          <w:color w:val="1F3864"/>
          <w:sz w:val="22"/>
          <w:szCs w:val="22"/>
        </w:rPr>
        <w:t xml:space="preserve">The discovery of Diederik Stapel’s systematic data fabrication (2011) initiated a period of acute scrutiny. Stapel had published numerous influential priming studies; the revelation of fraud implicated not only his work but raised questions about standard practices in social psychology. Simultaneously, initial replication attempts—including Doyen et al.’s (2012) failure to replicate the elderly priming walking-speed effect—began to emerge. The Many Labs project and the Open Science Collaboration’s Reproducibility Project were initiated in this period. Methodological consensus fragmented as researchers began questioning paradigm assumptions. The κ_conf index spiked sharply from 0.27 to 0.64, reflecting genuine empirical contradiction.</w:t>
      </w:r>
    </w:p>
    <w:p>
      <w:pPr>
        <w:pStyle w:val="Heading2"/>
        <w:spacing w:after="120" w:before="280"/>
      </w:pPr>
      <w:r>
        <w:rPr>
          <w:rFonts w:ascii="Times New Roman" w:cs="Times New Roman" w:eastAsia="Times New Roman" w:hAnsi="Times New Roman"/>
          <w:b/>
          <w:bCs/>
          <w:color w:val="2E75B6"/>
          <w:sz w:val="26"/>
          <w:szCs w:val="26"/>
        </w:rPr>
        <w:t xml:space="preserve">2.3 Acknowledged Non-Closure (2016–2020)</w:t>
      </w:r>
    </w:p>
    <w:p>
      <w:pPr>
        <w:spacing w:after="60" w:before="60" w:line="276"/>
        <w:jc w:val="both"/>
      </w:pPr>
      <w:r>
        <w:rPr>
          <w:rFonts w:ascii="Times New Roman" w:cs="Times New Roman" w:eastAsia="Times New Roman" w:hAnsi="Times New Roman"/>
          <w:b w:val="false"/>
          <w:bCs w:val="false"/>
          <w:color w:val="1F3864"/>
          <w:sz w:val="22"/>
          <w:szCs w:val="22"/>
        </w:rPr>
        <w:t xml:space="preserve">By 2016, non-closure was widely acknowledged within the field. Major replication failures were published in high-visibility outlets. The Registered Replication Reports series produced pre-registered large-sample tests of canonical priming effects, most failing to replicate at original effect sizes. The field exhibited the characteristic pattern of non-closure: high contradiction (κ_conf = 0.59), fragmented methodological practices (CPV = 0.58), disconnected research communities (A_norm = 0.52), and reduced coverage as researchers exited the area (Coverage = 0.61).</w:t>
      </w:r>
    </w:p>
    <w:p>
      <w:r>
        <w:br w:type="page"/>
      </w:r>
    </w:p>
    <w:p>
      <w:pPr>
        <w:pStyle w:val="Heading1"/>
        <w:spacing w:after="160" w:before="400"/>
      </w:pPr>
      <w:r>
        <w:rPr>
          <w:rFonts w:ascii="Times New Roman" w:cs="Times New Roman" w:eastAsia="Times New Roman" w:hAnsi="Times New Roman"/>
          <w:b/>
          <w:bCs/>
          <w:color w:val="1F3864"/>
          <w:sz w:val="32"/>
          <w:szCs w:val="32"/>
        </w:rPr>
        <w:t xml:space="preserve">3. LUM Application Methodology</w:t>
      </w:r>
    </w:p>
    <w:p>
      <w:pPr>
        <w:pBdr>
          <w:bottom w:val="single" w:color="2E75B6" w:sz="6" w:space="1"/>
        </w:pBdr>
        <w:spacing w:after="120" w:before="120"/>
      </w:pPr>
    </w:p>
    <w:p>
      <w:pPr>
        <w:pStyle w:val="Heading2"/>
        <w:spacing w:after="120" w:before="280"/>
      </w:pPr>
      <w:r>
        <w:rPr>
          <w:rFonts w:ascii="Times New Roman" w:cs="Times New Roman" w:eastAsia="Times New Roman" w:hAnsi="Times New Roman"/>
          <w:b/>
          <w:bCs/>
          <w:color w:val="2E75B6"/>
          <w:sz w:val="26"/>
          <w:szCs w:val="26"/>
        </w:rPr>
        <w:t xml:space="preserve">3.1 Pack Selection</w:t>
      </w:r>
    </w:p>
    <w:p>
      <w:pPr>
        <w:spacing w:after="60" w:before="60" w:line="276"/>
        <w:jc w:val="both"/>
      </w:pPr>
      <w:r>
        <w:rPr>
          <w:rFonts w:ascii="Times New Roman" w:cs="Times New Roman" w:eastAsia="Times New Roman" w:hAnsi="Times New Roman"/>
          <w:b w:val="false"/>
          <w:bCs w:val="false"/>
          <w:color w:val="1F3864"/>
          <w:sz w:val="22"/>
          <w:szCs w:val="22"/>
        </w:rPr>
        <w:t xml:space="preserve">We applied the SOC_DiD_v3 domain pack, appropriate for social science fields using quasi-experimental and correlational designs. SOC_DiD_v3 specifies extraction procedures for all eight core indices, cloglog model coefficients calibrated for social science corpora, and domain-specific post-checks including leakage detection and CPV laundering guards.</w:t>
      </w:r>
    </w:p>
    <w:p>
      <w:pPr>
        <w:pStyle w:val="Heading2"/>
        <w:spacing w:after="120" w:before="280"/>
      </w:pPr>
      <w:r>
        <w:rPr>
          <w:rFonts w:ascii="Times New Roman" w:cs="Times New Roman" w:eastAsia="Times New Roman" w:hAnsi="Times New Roman"/>
          <w:b/>
          <w:bCs/>
          <w:color w:val="2E75B6"/>
          <w:sz w:val="26"/>
          <w:szCs w:val="26"/>
        </w:rPr>
        <w:t xml:space="preserve">3.2 Corpus and Temporal Windows</w:t>
      </w:r>
    </w:p>
    <w:p>
      <w:pPr>
        <w:spacing w:after="60" w:before="60" w:line="276"/>
        <w:jc w:val="both"/>
      </w:pPr>
      <w:r>
        <w:rPr>
          <w:rFonts w:ascii="Times New Roman" w:cs="Times New Roman" w:eastAsia="Times New Roman" w:hAnsi="Times New Roman"/>
          <w:b w:val="false"/>
          <w:bCs w:val="false"/>
          <w:color w:val="1F3864"/>
          <w:sz w:val="22"/>
          <w:szCs w:val="22"/>
        </w:rPr>
        <w:t xml:space="preserve">The corpus comprises 347 studies (2005–2020) drawn from PsycINFO, Web of Science, and Registered Replication Reports. Studies were assigned to three non-overlapping five-year windows:</w:t>
      </w:r>
    </w:p>
    <w:p>
      <w:pPr>
        <w:spacing w:after="80" w:before="40"/>
      </w:pPr>
    </w:p>
    <w:p>
      <w:pPr>
        <w:pStyle w:val="ListParagraph"/>
        <w:numPr>
          <w:ilvl w:val="0"/>
          <w:numId w:val="2"/>
        </w:numPr>
        <w:spacing w:after="40" w:before="40" w:line="276"/>
        <w:jc w:val="both"/>
      </w:pPr>
      <w:r>
        <w:rPr>
          <w:rFonts w:ascii="Times New Roman" w:cs="Times New Roman" w:eastAsia="Times New Roman" w:hAnsi="Times New Roman"/>
          <w:color w:val="1F3864"/>
          <w:sz w:val="22"/>
          <w:szCs w:val="22"/>
        </w:rPr>
        <w:t xml:space="preserve">W1 (2005–2010): 128 studies, Δ = 1,826 days</w:t>
      </w:r>
    </w:p>
    <w:p>
      <w:pPr>
        <w:pStyle w:val="ListParagraph"/>
        <w:numPr>
          <w:ilvl w:val="0"/>
          <w:numId w:val="2"/>
        </w:numPr>
        <w:spacing w:after="40" w:before="40" w:line="276"/>
        <w:jc w:val="both"/>
      </w:pPr>
      <w:r>
        <w:rPr>
          <w:rFonts w:ascii="Times New Roman" w:cs="Times New Roman" w:eastAsia="Times New Roman" w:hAnsi="Times New Roman"/>
          <w:color w:val="1F3864"/>
          <w:sz w:val="22"/>
          <w:szCs w:val="22"/>
        </w:rPr>
        <w:t xml:space="preserve">W2 (2011–2015): 134 studies, Δ = 1,826 days</w:t>
      </w:r>
    </w:p>
    <w:p>
      <w:pPr>
        <w:pStyle w:val="ListParagraph"/>
        <w:numPr>
          <w:ilvl w:val="0"/>
          <w:numId w:val="2"/>
        </w:numPr>
        <w:spacing w:after="40" w:before="40" w:line="276"/>
        <w:jc w:val="both"/>
      </w:pPr>
      <w:r>
        <w:rPr>
          <w:rFonts w:ascii="Times New Roman" w:cs="Times New Roman" w:eastAsia="Times New Roman" w:hAnsi="Times New Roman"/>
          <w:color w:val="1F3864"/>
          <w:sz w:val="22"/>
          <w:szCs w:val="22"/>
        </w:rPr>
        <w:t xml:space="preserve">W3 (2016–2020): 85 studies, Δ = 1,827 days</w:t>
      </w:r>
    </w:p>
    <w:p>
      <w:pPr>
        <w:spacing w:after="80" w:before="40"/>
      </w:pPr>
    </w:p>
    <w:p>
      <w:pPr>
        <w:spacing w:after="60" w:before="60" w:line="276"/>
        <w:jc w:val="both"/>
      </w:pPr>
      <w:r>
        <w:rPr>
          <w:rFonts w:ascii="Times New Roman" w:cs="Times New Roman" w:eastAsia="Times New Roman" w:hAnsi="Times New Roman"/>
          <w:b w:val="false"/>
          <w:bCs w:val="false"/>
          <w:color w:val="1F3864"/>
          <w:sz w:val="22"/>
          <w:szCs w:val="22"/>
        </w:rPr>
        <w:t xml:space="preserve">Inclusion criteria: peer-reviewed empirical studies investigating behavioral priming effects in human participants, published in indexed journals or registered replication reports. Exclusion: purely theoretical or review papers, studies without quantitative outcome measures.</w:t>
      </w:r>
    </w:p>
    <w:p>
      <w:pPr>
        <w:pStyle w:val="Heading2"/>
        <w:spacing w:after="120" w:before="280"/>
      </w:pPr>
      <w:r>
        <w:rPr>
          <w:rFonts w:ascii="Times New Roman" w:cs="Times New Roman" w:eastAsia="Times New Roman" w:hAnsi="Times New Roman"/>
          <w:b/>
          <w:bCs/>
          <w:color w:val="2E75B6"/>
          <w:sz w:val="26"/>
          <w:szCs w:val="26"/>
        </w:rPr>
        <w:t xml:space="preserve">3.3 Index Computation</w:t>
      </w:r>
    </w:p>
    <w:p>
      <w:pPr>
        <w:spacing w:after="60" w:before="60" w:line="276"/>
        <w:jc w:val="both"/>
      </w:pPr>
      <w:r>
        <w:rPr>
          <w:rFonts w:ascii="Times New Roman" w:cs="Times New Roman" w:eastAsia="Times New Roman" w:hAnsi="Times New Roman"/>
          <w:b w:val="false"/>
          <w:bCs w:val="false"/>
          <w:color w:val="1F3864"/>
          <w:sz w:val="22"/>
          <w:szCs w:val="22"/>
        </w:rPr>
        <w:t xml:space="preserve">Primary indices (IPU, CPV, A_norm, κ_conf) were computed from the full corpus following SOC_DiD_v3 extraction specifications. IPU reflects defect-weighted methodological integrity using retraction rates, correction notices, and documented fraud. CPV quantifies methodological consensus via Mahalanobis distance from the centroid of design practices. A_norm captures knowledge-network structure via anti-saturation topology analysis. κ_conf measures empirical contradiction density across effect-size distributions.</w:t>
      </w:r>
    </w:p>
    <w:p>
      <w:pPr>
        <w:spacing w:after="80" w:before="40"/>
      </w:pPr>
    </w:p>
    <w:p>
      <w:pPr>
        <w:spacing w:after="60" w:before="60" w:line="276"/>
        <w:jc w:val="both"/>
      </w:pPr>
      <w:r>
        <w:rPr>
          <w:rFonts w:ascii="Times New Roman" w:cs="Times New Roman" w:eastAsia="Times New Roman" w:hAnsi="Times New Roman"/>
          <w:b w:val="false"/>
          <w:bCs w:val="false"/>
          <w:color w:val="1F3864"/>
          <w:sz w:val="22"/>
          <w:szCs w:val="22"/>
        </w:rPr>
        <w:t xml:space="preserve">Derived indices (Cons, Conf, Coverage, Shadow) were computed contextually. Conf was calibrated to match the paper’s p_cal output, providing internal consistency. Shadow was computed using the adversarial detection protocol, identifying anomalous effect-size distributions consistent with p-hacking and reporting bias.</w:t>
      </w:r>
    </w:p>
    <w:p>
      <w:pPr>
        <w:pStyle w:val="Heading2"/>
        <w:spacing w:after="120" w:before="280"/>
      </w:pPr>
      <w:r>
        <w:rPr>
          <w:rFonts w:ascii="Times New Roman" w:cs="Times New Roman" w:eastAsia="Times New Roman" w:hAnsi="Times New Roman"/>
          <w:b/>
          <w:bCs/>
          <w:color w:val="2E75B6"/>
          <w:sz w:val="26"/>
          <w:szCs w:val="26"/>
        </w:rPr>
        <w:t xml:space="preserve">3.4 Decision Rule</w:t>
      </w:r>
    </w:p>
    <w:p>
      <w:pPr>
        <w:spacing w:after="60" w:before="60" w:line="276"/>
        <w:jc w:val="both"/>
      </w:pPr>
      <w:r>
        <w:rPr>
          <w:rFonts w:ascii="Times New Roman" w:cs="Times New Roman" w:eastAsia="Times New Roman" w:hAnsi="Times New Roman"/>
          <w:b w:val="false"/>
          <w:bCs w:val="false"/>
          <w:color w:val="1F3864"/>
          <w:sz w:val="22"/>
          <w:szCs w:val="22"/>
        </w:rPr>
        <w:t xml:space="preserve">The LUM decision rule applies the following logic to each bundle:</w:t>
      </w:r>
    </w:p>
    <w:p>
      <w:pPr>
        <w:spacing w:after="80" w:before="40"/>
      </w:pPr>
    </w:p>
    <w:p>
      <w:pPr>
        <w:pBdr>
          <w:left w:val="single" w:color="2E75B6" w:sz="8" w:space="4"/>
        </w:pBdr>
        <w:shd w:fill="F5F5F5" w:val="clear"/>
        <w:spacing w:after="60" w:before="60"/>
        <w:ind w:left="360"/>
      </w:pPr>
      <w:r>
        <w:rPr>
          <w:rFonts w:ascii="Courier New" w:cs="Courier New" w:eastAsia="Courier New" w:hAnsi="Courier New"/>
          <w:color w:val="333333"/>
          <w:sz w:val="18"/>
          <w:szCs w:val="18"/>
        </w:rPr>
        <w:t xml:space="preserve">if lum &gt;= 0.80 AND ipu &gt;= 0.70 AND a_norm &gt;= 0.65 AND conf &gt;= 0.70 AND shadow &lt; 0.40:</w:t>
      </w:r>
    </w:p>
    <w:p>
      <w:pPr>
        <w:pBdr>
          <w:left w:val="single" w:color="2E75B6" w:sz="8" w:space="4"/>
        </w:pBdr>
        <w:shd w:fill="F5F5F5" w:val="clear"/>
        <w:spacing w:after="60" w:before="60"/>
        <w:ind w:left="360"/>
      </w:pPr>
      <w:r>
        <w:rPr>
          <w:rFonts w:ascii="Courier New" w:cs="Courier New" w:eastAsia="Courier New" w:hAnsi="Courier New"/>
          <w:color w:val="333333"/>
          <w:sz w:val="18"/>
          <w:szCs w:val="18"/>
        </w:rPr>
        <w:t xml:space="preserve">    state = GREEN  (CLARION)</w:t>
      </w:r>
    </w:p>
    <w:p>
      <w:pPr>
        <w:pBdr>
          <w:left w:val="single" w:color="2E75B6" w:sz="8" w:space="4"/>
        </w:pBdr>
        <w:shd w:fill="F5F5F5" w:val="clear"/>
        <w:spacing w:after="60" w:before="60"/>
        <w:ind w:left="360"/>
      </w:pPr>
      <w:r>
        <w:rPr>
          <w:rFonts w:ascii="Courier New" w:cs="Courier New" w:eastAsia="Courier New" w:hAnsi="Courier New"/>
          <w:color w:val="333333"/>
          <w:sz w:val="18"/>
          <w:szCs w:val="18"/>
        </w:rPr>
        <w:t xml:space="preserve">elif shadow &gt;= 0.40:</w:t>
      </w:r>
    </w:p>
    <w:p>
      <w:pPr>
        <w:pBdr>
          <w:left w:val="single" w:color="2E75B6" w:sz="8" w:space="4"/>
        </w:pBdr>
        <w:shd w:fill="F5F5F5" w:val="clear"/>
        <w:spacing w:after="60" w:before="60"/>
        <w:ind w:left="360"/>
      </w:pPr>
      <w:r>
        <w:rPr>
          <w:rFonts w:ascii="Courier New" w:cs="Courier New" w:eastAsia="Courier New" w:hAnsi="Courier New"/>
          <w:color w:val="333333"/>
          <w:sz w:val="18"/>
          <w:szCs w:val="18"/>
        </w:rPr>
        <w:t xml:space="preserve">    state = BLACK  (adversarial flag)</w:t>
      </w:r>
    </w:p>
    <w:p>
      <w:pPr>
        <w:pBdr>
          <w:left w:val="single" w:color="2E75B6" w:sz="8" w:space="4"/>
        </w:pBdr>
        <w:shd w:fill="F5F5F5" w:val="clear"/>
        <w:spacing w:after="60" w:before="60"/>
        <w:ind w:left="360"/>
      </w:pPr>
      <w:r>
        <w:rPr>
          <w:rFonts w:ascii="Courier New" w:cs="Courier New" w:eastAsia="Courier New" w:hAnsi="Courier New"/>
          <w:color w:val="333333"/>
          <w:sz w:val="18"/>
          <w:szCs w:val="18"/>
        </w:rPr>
        <w:t xml:space="preserve">elif lum &gt;= 0.40:</w:t>
      </w:r>
    </w:p>
    <w:p>
      <w:pPr>
        <w:pBdr>
          <w:left w:val="single" w:color="2E75B6" w:sz="8" w:space="4"/>
        </w:pBdr>
        <w:shd w:fill="F5F5F5" w:val="clear"/>
        <w:spacing w:after="60" w:before="60"/>
        <w:ind w:left="360"/>
      </w:pPr>
      <w:r>
        <w:rPr>
          <w:rFonts w:ascii="Courier New" w:cs="Courier New" w:eastAsia="Courier New" w:hAnsi="Courier New"/>
          <w:color w:val="333333"/>
          <w:sz w:val="18"/>
          <w:szCs w:val="18"/>
        </w:rPr>
        <w:t xml:space="preserve">    state = AMBER  (PSNC)</w:t>
      </w:r>
    </w:p>
    <w:p>
      <w:pPr>
        <w:pBdr>
          <w:left w:val="single" w:color="2E75B6" w:sz="8" w:space="4"/>
        </w:pBdr>
        <w:shd w:fill="F5F5F5" w:val="clear"/>
        <w:spacing w:after="60" w:before="60"/>
        <w:ind w:left="360"/>
      </w:pPr>
      <w:r>
        <w:rPr>
          <w:rFonts w:ascii="Courier New" w:cs="Courier New" w:eastAsia="Courier New" w:hAnsi="Courier New"/>
          <w:color w:val="333333"/>
          <w:sz w:val="18"/>
          <w:szCs w:val="18"/>
        </w:rPr>
        <w:t xml:space="preserve">else:</w:t>
      </w:r>
    </w:p>
    <w:p>
      <w:pPr>
        <w:pBdr>
          <w:left w:val="single" w:color="2E75B6" w:sz="8" w:space="4"/>
        </w:pBdr>
        <w:shd w:fill="F5F5F5" w:val="clear"/>
        <w:spacing w:after="60" w:before="60"/>
        <w:ind w:left="360"/>
      </w:pPr>
      <w:r>
        <w:rPr>
          <w:rFonts w:ascii="Courier New" w:cs="Courier New" w:eastAsia="Courier New" w:hAnsi="Courier New"/>
          <w:color w:val="333333"/>
          <w:sz w:val="18"/>
          <w:szCs w:val="18"/>
        </w:rPr>
        <w:t xml:space="preserve">    state = RED    (no-closure)</w:t>
      </w:r>
    </w:p>
    <w:p>
      <w:pPr>
        <w:spacing w:after="80" w:before="40"/>
      </w:pPr>
    </w:p>
    <w:p>
      <w:pPr>
        <w:spacing w:after="60" w:before="60" w:line="276"/>
        <w:jc w:val="both"/>
      </w:pPr>
      <w:r>
        <w:rPr>
          <w:rFonts w:ascii="Times New Roman" w:cs="Times New Roman" w:eastAsia="Times New Roman" w:hAnsi="Times New Roman"/>
          <w:b w:val="false"/>
          <w:bCs w:val="false"/>
          <w:color w:val="1F3864"/>
          <w:sz w:val="22"/>
          <w:szCs w:val="22"/>
        </w:rPr>
        <w:t xml:space="preserve">Default thresholds: τ_green = 0.80, θ_ipu = 0.70, θ_a = 0.65, θ_conf = 0.70, θ_shd = 0.40.</w:t>
      </w:r>
    </w:p>
    <w:p>
      <w:r>
        <w:br w:type="page"/>
      </w:r>
    </w:p>
    <w:p>
      <w:pPr>
        <w:pStyle w:val="Heading1"/>
        <w:spacing w:after="160" w:before="400"/>
      </w:pPr>
      <w:r>
        <w:rPr>
          <w:rFonts w:ascii="Times New Roman" w:cs="Times New Roman" w:eastAsia="Times New Roman" w:hAnsi="Times New Roman"/>
          <w:b/>
          <w:bCs/>
          <w:color w:val="1F3864"/>
          <w:sz w:val="32"/>
          <w:szCs w:val="32"/>
        </w:rPr>
        <w:t xml:space="preserve">4. Results</w:t>
      </w:r>
    </w:p>
    <w:p>
      <w:pPr>
        <w:pBdr>
          <w:bottom w:val="single" w:color="2E75B6" w:sz="6" w:space="1"/>
        </w:pBdr>
        <w:spacing w:after="120" w:before="120"/>
      </w:pPr>
    </w:p>
    <w:p>
      <w:pPr>
        <w:pStyle w:val="Heading2"/>
        <w:spacing w:after="120" w:before="280"/>
      </w:pPr>
      <w:r>
        <w:rPr>
          <w:rFonts w:ascii="Times New Roman" w:cs="Times New Roman" w:eastAsia="Times New Roman" w:hAnsi="Times New Roman"/>
          <w:b/>
          <w:bCs/>
          <w:color w:val="2E75B6"/>
          <w:sz w:val="26"/>
          <w:szCs w:val="26"/>
        </w:rPr>
        <w:t xml:space="preserve">4.1 Index Trajectories</w:t>
      </w:r>
    </w:p>
    <w:p>
      <w:pPr>
        <w:spacing w:after="60" w:before="60" w:line="276"/>
        <w:jc w:val="both"/>
      </w:pPr>
      <w:r>
        <w:rPr>
          <w:rFonts w:ascii="Times New Roman" w:cs="Times New Roman" w:eastAsia="Times New Roman" w:hAnsi="Times New Roman"/>
          <w:b w:val="false"/>
          <w:bCs w:val="false"/>
          <w:color w:val="1F3864"/>
          <w:sz w:val="22"/>
          <w:szCs w:val="22"/>
        </w:rPr>
        <w:t xml:space="preserve">Table 1 presents the full index trajectories across the three temporal windows, including delta values between consecutive windows. Columns marked ‘Primario’ derive from corpus analysis; columns marked ‘Derivado’ from contextual analysis.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40"/>
        <w:gridCol w:w="1140"/>
        <w:gridCol w:w="1140"/>
        <w:gridCol w:w="1140"/>
        <w:gridCol w:w="1140"/>
        <w:gridCol w:w="1140"/>
        <w:gridCol w:w="1120"/>
      </w:tblGrid>
      <w:tr>
        <w:trPr>
          <w:tblHeader/>
        </w:trPr>
        <w:tc>
          <w:tcPr>
            <w:tcW w:type="dxa" w:w="14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Índice / Ventana</w:t>
            </w:r>
          </w:p>
        </w:tc>
        <w:tc>
          <w:tcPr>
            <w:tcW w:type="dxa" w:w="114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W1
2005-10</w:t>
            </w:r>
          </w:p>
        </w:tc>
        <w:tc>
          <w:tcPr>
            <w:tcW w:type="dxa" w:w="114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W2
2011-15</w:t>
            </w:r>
          </w:p>
        </w:tc>
        <w:tc>
          <w:tcPr>
            <w:tcW w:type="dxa" w:w="114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W3
2016-20</w:t>
            </w:r>
          </w:p>
        </w:tc>
        <w:tc>
          <w:tcPr>
            <w:tcW w:type="dxa" w:w="114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Δ W1→W2</w:t>
            </w:r>
          </w:p>
        </w:tc>
        <w:tc>
          <w:tcPr>
            <w:tcW w:type="dxa" w:w="114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Δ W2→W3</w:t>
            </w:r>
          </w:p>
        </w:tc>
        <w:tc>
          <w:tcPr>
            <w:tcW w:type="dxa" w:w="114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Fuente</w:t>
            </w:r>
          </w:p>
        </w:tc>
        <w:tc>
          <w:tcPr>
            <w:tcW w:type="dxa" w:w="112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Tipo</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1F3864"/>
                <w:sz w:val="18"/>
                <w:szCs w:val="18"/>
              </w:rPr>
              <w:t xml:space="preserve">IPU</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0.965</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0.871</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0.895</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75623"/>
                <w:sz w:val="18"/>
                <w:szCs w:val="18"/>
              </w:rPr>
              <w:t xml:space="preserve">-0.094</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+0.024</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Corpus</w:t>
            </w:r>
          </w:p>
        </w:tc>
        <w:tc>
          <w:tcPr>
            <w:tcW w:type="dxa" w:w="11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Primario</w:t>
            </w:r>
          </w:p>
        </w:tc>
      </w:tr>
      <w:tr>
        <w:tc>
          <w:tcPr>
            <w:tcW w:type="dxa" w:w="14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1F3864"/>
                <w:sz w:val="18"/>
                <w:szCs w:val="18"/>
              </w:rPr>
              <w:t xml:space="preserve">CPV</w:t>
            </w:r>
          </w:p>
        </w:tc>
        <w:tc>
          <w:tcPr>
            <w:tcW w:type="dxa" w:w="11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0.730</w:t>
            </w:r>
          </w:p>
        </w:tc>
        <w:tc>
          <w:tcPr>
            <w:tcW w:type="dxa" w:w="11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0.680</w:t>
            </w:r>
          </w:p>
        </w:tc>
        <w:tc>
          <w:tcPr>
            <w:tcW w:type="dxa" w:w="11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0.580</w:t>
            </w:r>
          </w:p>
        </w:tc>
        <w:tc>
          <w:tcPr>
            <w:tcW w:type="dxa" w:w="11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val="false"/>
                <w:bCs w:val="false"/>
                <w:color w:val="375623"/>
                <w:sz w:val="18"/>
                <w:szCs w:val="18"/>
              </w:rPr>
              <w:t xml:space="preserve">-0.050</w:t>
            </w:r>
          </w:p>
        </w:tc>
        <w:tc>
          <w:tcPr>
            <w:tcW w:type="dxa" w:w="11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-0.100</w:t>
            </w:r>
          </w:p>
        </w:tc>
        <w:tc>
          <w:tcPr>
            <w:tcW w:type="dxa" w:w="11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Corpus</w:t>
            </w:r>
          </w:p>
        </w:tc>
        <w:tc>
          <w:tcPr>
            <w:tcW w:type="dxa" w:w="112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Primario</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1F3864"/>
                <w:sz w:val="18"/>
                <w:szCs w:val="18"/>
              </w:rPr>
              <w:t xml:space="preserve">A_norm</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0.710</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0.640</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0.520</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75623"/>
                <w:sz w:val="18"/>
                <w:szCs w:val="18"/>
              </w:rPr>
              <w:t xml:space="preserve">-0.070</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-0.120</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Corpus</w:t>
            </w:r>
          </w:p>
        </w:tc>
        <w:tc>
          <w:tcPr>
            <w:tcW w:type="dxa" w:w="11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Primario</w:t>
            </w:r>
          </w:p>
        </w:tc>
      </w:tr>
      <w:tr>
        <w:tc>
          <w:tcPr>
            <w:tcW w:type="dxa" w:w="14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1F3864"/>
                <w:sz w:val="18"/>
                <w:szCs w:val="18"/>
              </w:rPr>
              <w:t xml:space="preserve">κ_conf</w:t>
            </w:r>
          </w:p>
        </w:tc>
        <w:tc>
          <w:tcPr>
            <w:tcW w:type="dxa" w:w="11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0.270</w:t>
            </w:r>
          </w:p>
        </w:tc>
        <w:tc>
          <w:tcPr>
            <w:tcW w:type="dxa" w:w="11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0.640</w:t>
            </w:r>
          </w:p>
        </w:tc>
        <w:tc>
          <w:tcPr>
            <w:tcW w:type="dxa" w:w="11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0.590</w:t>
            </w:r>
          </w:p>
        </w:tc>
        <w:tc>
          <w:tcPr>
            <w:tcW w:type="dxa" w:w="11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val="false"/>
                <w:bCs w:val="false"/>
                <w:color w:val="7B0000"/>
                <w:sz w:val="18"/>
                <w:szCs w:val="18"/>
              </w:rPr>
              <w:t xml:space="preserve">+0.370</w:t>
            </w:r>
          </w:p>
        </w:tc>
        <w:tc>
          <w:tcPr>
            <w:tcW w:type="dxa" w:w="11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-0.050</w:t>
            </w:r>
          </w:p>
        </w:tc>
        <w:tc>
          <w:tcPr>
            <w:tcW w:type="dxa" w:w="11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Corpus</w:t>
            </w:r>
          </w:p>
        </w:tc>
        <w:tc>
          <w:tcPr>
            <w:tcW w:type="dxa" w:w="112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Primario</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1F3864"/>
                <w:sz w:val="18"/>
                <w:szCs w:val="18"/>
              </w:rPr>
              <w:t xml:space="preserve">Cons</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0.620</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0.710</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0.790</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7B0000"/>
                <w:sz w:val="18"/>
                <w:szCs w:val="18"/>
              </w:rPr>
              <w:t xml:space="preserve">+0.090</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+0.080</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Derivado</w:t>
            </w:r>
          </w:p>
        </w:tc>
        <w:tc>
          <w:tcPr>
            <w:tcW w:type="dxa" w:w="11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Secundario</w:t>
            </w:r>
          </w:p>
        </w:tc>
      </w:tr>
      <w:tr>
        <w:tc>
          <w:tcPr>
            <w:tcW w:type="dxa" w:w="14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1F3864"/>
                <w:sz w:val="18"/>
                <w:szCs w:val="18"/>
              </w:rPr>
              <w:t xml:space="preserve">Conf</w:t>
            </w:r>
          </w:p>
        </w:tc>
        <w:tc>
          <w:tcPr>
            <w:tcW w:type="dxa" w:w="11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0.840</w:t>
            </w:r>
          </w:p>
        </w:tc>
        <w:tc>
          <w:tcPr>
            <w:tcW w:type="dxa" w:w="11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0.520</w:t>
            </w:r>
          </w:p>
        </w:tc>
        <w:tc>
          <w:tcPr>
            <w:tcW w:type="dxa" w:w="11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0.310</w:t>
            </w:r>
          </w:p>
        </w:tc>
        <w:tc>
          <w:tcPr>
            <w:tcW w:type="dxa" w:w="11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val="false"/>
                <w:bCs w:val="false"/>
                <w:color w:val="375623"/>
                <w:sz w:val="18"/>
                <w:szCs w:val="18"/>
              </w:rPr>
              <w:t xml:space="preserve">-0.320</w:t>
            </w:r>
          </w:p>
        </w:tc>
        <w:tc>
          <w:tcPr>
            <w:tcW w:type="dxa" w:w="11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-0.210</w:t>
            </w:r>
          </w:p>
        </w:tc>
        <w:tc>
          <w:tcPr>
            <w:tcW w:type="dxa" w:w="11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Derivado</w:t>
            </w:r>
          </w:p>
        </w:tc>
        <w:tc>
          <w:tcPr>
            <w:tcW w:type="dxa" w:w="112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Secundario</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1F3864"/>
                <w:sz w:val="18"/>
                <w:szCs w:val="18"/>
              </w:rPr>
              <w:t xml:space="preserve">Coverage</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0.780</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0.740</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0.610</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75623"/>
                <w:sz w:val="18"/>
                <w:szCs w:val="18"/>
              </w:rPr>
              <w:t xml:space="preserve">-0.040</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-0.130</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Derivado</w:t>
            </w:r>
          </w:p>
        </w:tc>
        <w:tc>
          <w:tcPr>
            <w:tcW w:type="dxa" w:w="11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Secundario</w:t>
            </w:r>
          </w:p>
        </w:tc>
      </w:tr>
      <w:tr>
        <w:tc>
          <w:tcPr>
            <w:tcW w:type="dxa" w:w="14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1F3864"/>
                <w:sz w:val="18"/>
                <w:szCs w:val="18"/>
              </w:rPr>
              <w:t xml:space="preserve">Shadow</w:t>
            </w:r>
          </w:p>
        </w:tc>
        <w:tc>
          <w:tcPr>
            <w:tcW w:type="dxa" w:w="11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0.082</w:t>
            </w:r>
          </w:p>
        </w:tc>
        <w:tc>
          <w:tcPr>
            <w:tcW w:type="dxa" w:w="11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0.342</w:t>
            </w:r>
          </w:p>
        </w:tc>
        <w:tc>
          <w:tcPr>
            <w:tcW w:type="dxa" w:w="11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0.218</w:t>
            </w:r>
          </w:p>
        </w:tc>
        <w:tc>
          <w:tcPr>
            <w:tcW w:type="dxa" w:w="11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val="false"/>
                <w:bCs w:val="false"/>
                <w:color w:val="7B0000"/>
                <w:sz w:val="18"/>
                <w:szCs w:val="18"/>
              </w:rPr>
              <w:t xml:space="preserve">+0.260</w:t>
            </w:r>
          </w:p>
        </w:tc>
        <w:tc>
          <w:tcPr>
            <w:tcW w:type="dxa" w:w="11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-0.124</w:t>
            </w:r>
          </w:p>
        </w:tc>
        <w:tc>
          <w:tcPr>
            <w:tcW w:type="dxa" w:w="11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Derivado</w:t>
            </w:r>
          </w:p>
        </w:tc>
        <w:tc>
          <w:tcPr>
            <w:tcW w:type="dxa" w:w="112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val="false"/>
                <w:bCs w:val="false"/>
                <w:color w:val="1F3864"/>
                <w:sz w:val="18"/>
                <w:szCs w:val="18"/>
              </w:rPr>
              <w:t xml:space="preserve">Secundario</w:t>
            </w:r>
          </w:p>
        </w:tc>
      </w:tr>
      <w:tr>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bCs/>
                <w:color w:val="1F3864"/>
                <w:sz w:val="18"/>
                <w:szCs w:val="18"/>
              </w:rPr>
              <w:t xml:space="preserve">LUM score</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0.847</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0.521</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0.298</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-0.326</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-0.223</w:t>
            </w:r>
          </w:p>
        </w:tc>
        <w:tc>
          <w:tcPr>
            <w:tcW w:type="dxa" w:w="11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Paper</w:t>
            </w:r>
          </w:p>
        </w:tc>
        <w:tc>
          <w:tcPr>
            <w:tcW w:type="dxa" w:w="11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Output</w:t>
            </w:r>
          </w:p>
        </w:tc>
      </w:tr>
      <w:tr>
        <w:tc>
          <w:tcPr>
            <w:tcW w:type="dxa" w:w="14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left"/>
            </w:pPr>
            <w:r>
              <w:rPr>
                <w:rFonts w:ascii="Courier New" w:cs="Courier New" w:eastAsia="Courier New" w:hAnsi="Courier New"/>
                <w:b/>
                <w:bCs/>
                <w:color w:val="1F3864"/>
                <w:sz w:val="18"/>
                <w:szCs w:val="18"/>
              </w:rPr>
              <w:t xml:space="preserve">Estado</w:t>
            </w:r>
          </w:p>
        </w:tc>
        <w:tc>
          <w:tcPr>
            <w:tcW w:type="dxa" w:w="114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8"/>
                <w:szCs w:val="18"/>
              </w:rPr>
              <w:t xml:space="preserve">GREEN</w:t>
            </w:r>
          </w:p>
        </w:tc>
        <w:tc>
          <w:tcPr>
            <w:tcW w:type="dxa" w:w="114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8"/>
                <w:szCs w:val="18"/>
              </w:rPr>
              <w:t xml:space="preserve">AMBER</w:t>
            </w:r>
          </w:p>
        </w:tc>
        <w:tc>
          <w:tcPr>
            <w:tcW w:type="dxa" w:w="1140"/>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bCs/>
                <w:color w:val="7B0000"/>
                <w:sz w:val="18"/>
                <w:szCs w:val="18"/>
              </w:rPr>
              <w:t xml:space="preserve">RED</w:t>
            </w:r>
          </w:p>
        </w:tc>
        <w:tc>
          <w:tcPr>
            <w:tcW w:type="dxa" w:w="11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w:t>
            </w:r>
          </w:p>
        </w:tc>
        <w:tc>
          <w:tcPr>
            <w:tcW w:type="dxa" w:w="11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w:t>
            </w:r>
          </w:p>
        </w:tc>
        <w:tc>
          <w:tcPr>
            <w:tcW w:type="dxa" w:w="11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Paper</w:t>
            </w:r>
          </w:p>
        </w:tc>
        <w:tc>
          <w:tcPr>
            <w:tcW w:type="dxa" w:w="112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Decisión</w:t>
            </w:r>
          </w:p>
        </w:tc>
      </w:tr>
    </w:tbl>
    <w:p>
      <w:pPr>
        <w:spacing w:after="80" w:before="80"/>
      </w:pPr>
    </w:p>
    <w:p>
      <w:pPr>
        <w:spacing w:after="60" w:before="60" w:line="276"/>
        <w:jc w:val="both"/>
      </w:pPr>
      <w:r>
        <w:rPr>
          <w:rFonts w:ascii="Times New Roman" w:cs="Times New Roman" w:eastAsia="Times New Roman" w:hAnsi="Times New Roman"/>
          <w:b w:val="false"/>
          <w:bCs w:val="false"/>
          <w:color w:val="1F3864"/>
          <w:sz w:val="22"/>
          <w:szCs w:val="22"/>
        </w:rPr>
        <w:t xml:space="preserve">The most diagnostically significant trajectory is κ_conf (empirical contradiction), which spiked from 0.27 in W1 to 0.64 in W2 (Δ = +0.370). This spike preceded public mainstream recognition of the crisis by approximately 18–24 months, consistent with LUM’s theoretical property of prospective detection. CPV and A_norm exhibit monotonic decline across all three windows, reflecting progressive methodological fragmentation and community disconnection. Shadow reached its maximum in W2 (0.342), coinciding with the Stapel fraud discovery and anomalous effect-size distributions in the concurrent literature.</w:t>
      </w:r>
    </w:p>
    <w:p>
      <w:pPr>
        <w:pStyle w:val="Heading2"/>
        <w:spacing w:after="120" w:before="280"/>
      </w:pPr>
      <w:r>
        <w:rPr>
          <w:rFonts w:ascii="Times New Roman" w:cs="Times New Roman" w:eastAsia="Times New Roman" w:hAnsi="Times New Roman"/>
          <w:b/>
          <w:bCs/>
          <w:color w:val="2E75B6"/>
          <w:sz w:val="26"/>
          <w:szCs w:val="26"/>
        </w:rPr>
        <w:t xml:space="preserve">4.2 State Classifications</w:t>
      </w:r>
    </w:p>
    <w:p>
      <w:pPr>
        <w:spacing w:after="80" w:before="40"/>
      </w:pPr>
    </w:p>
    <w:p>
      <w:pPr>
        <w:spacing w:after="60" w:before="60" w:line="276"/>
        <w:jc w:val="both"/>
      </w:pPr>
      <w:r>
        <w:rPr>
          <w:rFonts w:ascii="Times New Roman" w:cs="Times New Roman" w:eastAsia="Times New Roman" w:hAnsi="Times New Roman"/>
          <w:b/>
          <w:bCs/>
          <w:color w:val="1F3864"/>
          <w:sz w:val="22"/>
          <w:szCs w:val="22"/>
        </w:rPr>
        <w:t xml:space="preserve">Window W1 (2005–2010): </w:t>
      </w:r>
      <w:r>
        <w:rPr>
          <w:rFonts w:ascii="Times New Roman" w:cs="Times New Roman" w:eastAsia="Times New Roman" w:hAnsi="Times New Roman"/>
          <w:b/>
          <w:bCs/>
          <w:color w:val="375623"/>
          <w:sz w:val="22"/>
          <w:szCs w:val="22"/>
        </w:rPr>
        <w:t xml:space="preserve">● GREEN (CLARION)</w:t>
      </w:r>
      <w:r>
        <w:rPr>
          <w:rFonts w:ascii="Times New Roman" w:cs="Times New Roman" w:eastAsia="Times New Roman" w:hAnsi="Times New Roman"/>
          <w:b w:val="false"/>
          <w:bCs w:val="false"/>
          <w:color w:val="1F3864"/>
          <w:sz w:val="22"/>
          <w:szCs w:val="22"/>
        </w:rPr>
        <w:t xml:space="preserve">  —  LUM = 0.847</w:t>
      </w:r>
    </w:p>
    <w:p>
      <w:pPr>
        <w:spacing w:after="80" w:before="20"/>
      </w:pPr>
    </w:p>
    <w:p>
      <w:pPr>
        <w:spacing w:after="60" w:before="60" w:line="276"/>
        <w:jc w:val="both"/>
      </w:pPr>
      <w:r>
        <w:rPr>
          <w:rFonts w:ascii="Times New Roman" w:cs="Times New Roman" w:eastAsia="Times New Roman" w:hAnsi="Times New Roman"/>
          <w:b w:val="false"/>
          <w:bCs w:val="false"/>
          <w:color w:val="333333"/>
          <w:sz w:val="22"/>
          <w:szCs w:val="22"/>
        </w:rPr>
        <w:t xml:space="preserve">All GREEN criteria satisfied: LUM (0.847) ≥ 0.80, IPU (0.965) ≥ 0.70, A_norm (0.710) ≥ 0.65, Conf (0.840) ≥ 0.70, Shadow (0.082) &lt; 0.40. CLARION state achieved. Consistent with expert consensus: priming treated as established during this period.</w:t>
      </w:r>
    </w:p>
    <w:p>
      <w:pPr>
        <w:spacing w:after="80" w:before="40"/>
      </w:pPr>
    </w:p>
    <w:p>
      <w:pPr>
        <w:spacing w:after="60" w:before="60" w:line="276"/>
        <w:jc w:val="both"/>
      </w:pPr>
      <w:r>
        <w:rPr>
          <w:rFonts w:ascii="Times New Roman" w:cs="Times New Roman" w:eastAsia="Times New Roman" w:hAnsi="Times New Roman"/>
          <w:b/>
          <w:bCs/>
          <w:color w:val="1F3864"/>
          <w:sz w:val="22"/>
          <w:szCs w:val="22"/>
        </w:rPr>
        <w:t xml:space="preserve">Window W2 (2011–2015): </w:t>
      </w:r>
      <w:r>
        <w:rPr>
          <w:rFonts w:ascii="Times New Roman" w:cs="Times New Roman" w:eastAsia="Times New Roman" w:hAnsi="Times New Roman"/>
          <w:b/>
          <w:bCs/>
          <w:color w:val="7F6000"/>
          <w:sz w:val="22"/>
          <w:szCs w:val="22"/>
        </w:rPr>
        <w:t xml:space="preserve">● AMBER (PSNC)</w:t>
      </w:r>
      <w:r>
        <w:rPr>
          <w:rFonts w:ascii="Times New Roman" w:cs="Times New Roman" w:eastAsia="Times New Roman" w:hAnsi="Times New Roman"/>
          <w:b w:val="false"/>
          <w:bCs w:val="false"/>
          <w:color w:val="1F3864"/>
          <w:sz w:val="22"/>
          <w:szCs w:val="22"/>
        </w:rPr>
        <w:t xml:space="preserve">  —  LUM = 0.521</w:t>
      </w:r>
    </w:p>
    <w:p>
      <w:pPr>
        <w:spacing w:after="80" w:before="20"/>
      </w:pPr>
    </w:p>
    <w:p>
      <w:pPr>
        <w:spacing w:after="60" w:before="60" w:line="276"/>
        <w:jc w:val="both"/>
      </w:pPr>
      <w:r>
        <w:rPr>
          <w:rFonts w:ascii="Times New Roman" w:cs="Times New Roman" w:eastAsia="Times New Roman" w:hAnsi="Times New Roman"/>
          <w:b w:val="false"/>
          <w:bCs w:val="false"/>
          <w:color w:val="333333"/>
          <w:sz w:val="22"/>
          <w:szCs w:val="22"/>
        </w:rPr>
        <w:t xml:space="preserve">GREEN criterion LUM &lt; 0.80 not satisfied. Shadow (0.342) &lt; 0.40, so BLACK not triggered. LUM (0.521) ≥ 0.40 → AMBER state. A PSNC (Plan of Structured Non-Closure) is issued, specifying: (1) pre-registration required for new studies; (2) κ_conf monitoring until &lt; 0.40; (3) CPV recovery to ≥ 0.70 needed. Consistent with expert consensus: crisis emerging, field under scrutiny.</w:t>
      </w:r>
    </w:p>
    <w:p>
      <w:pPr>
        <w:spacing w:after="80" w:before="40"/>
      </w:pPr>
    </w:p>
    <w:p>
      <w:pPr>
        <w:spacing w:after="60" w:before="60" w:line="276"/>
        <w:jc w:val="both"/>
      </w:pPr>
      <w:r>
        <w:rPr>
          <w:rFonts w:ascii="Times New Roman" w:cs="Times New Roman" w:eastAsia="Times New Roman" w:hAnsi="Times New Roman"/>
          <w:b/>
          <w:bCs/>
          <w:color w:val="1F3864"/>
          <w:sz w:val="22"/>
          <w:szCs w:val="22"/>
        </w:rPr>
        <w:t xml:space="preserve">Window W3 (2016–2020): </w:t>
      </w:r>
      <w:r>
        <w:rPr>
          <w:rFonts w:ascii="Times New Roman" w:cs="Times New Roman" w:eastAsia="Times New Roman" w:hAnsi="Times New Roman"/>
          <w:b/>
          <w:bCs/>
          <w:color w:val="7B0000"/>
          <w:sz w:val="22"/>
          <w:szCs w:val="22"/>
        </w:rPr>
        <w:t xml:space="preserve">● RED (NO-CLOSURE)</w:t>
      </w:r>
      <w:r>
        <w:rPr>
          <w:rFonts w:ascii="Times New Roman" w:cs="Times New Roman" w:eastAsia="Times New Roman" w:hAnsi="Times New Roman"/>
          <w:b w:val="false"/>
          <w:bCs w:val="false"/>
          <w:color w:val="1F3864"/>
          <w:sz w:val="22"/>
          <w:szCs w:val="22"/>
        </w:rPr>
        <w:t xml:space="preserve">  —  LUM = 0.298</w:t>
      </w:r>
    </w:p>
    <w:p>
      <w:pPr>
        <w:spacing w:after="80" w:before="20"/>
      </w:pPr>
    </w:p>
    <w:p>
      <w:pPr>
        <w:spacing w:after="60" w:before="60" w:line="276"/>
        <w:jc w:val="both"/>
      </w:pPr>
      <w:r>
        <w:rPr>
          <w:rFonts w:ascii="Times New Roman" w:cs="Times New Roman" w:eastAsia="Times New Roman" w:hAnsi="Times New Roman"/>
          <w:b w:val="false"/>
          <w:bCs w:val="false"/>
          <w:color w:val="333333"/>
          <w:sz w:val="22"/>
          <w:szCs w:val="22"/>
        </w:rPr>
        <w:t xml:space="preserve">LUM (0.298) &lt; 0.40 → RED state. Non-closure. Despite IPU partial recovery (0.895, increased vigilance), CPV (0.580), A_norm (0.520), and κ_conf (0.590) remain at non-closure levels. Consistent with expert consensus: non-closure acknowledged, major replication failures documented.</w:t>
      </w:r>
    </w:p>
    <w:p>
      <w:pPr>
        <w:pStyle w:val="Heading2"/>
        <w:spacing w:after="120" w:before="280"/>
      </w:pPr>
      <w:r>
        <w:rPr>
          <w:rFonts w:ascii="Times New Roman" w:cs="Times New Roman" w:eastAsia="Times New Roman" w:hAnsi="Times New Roman"/>
          <w:b/>
          <w:bCs/>
          <w:color w:val="2E75B6"/>
          <w:sz w:val="26"/>
          <w:szCs w:val="26"/>
        </w:rPr>
        <w:t xml:space="preserve">4.3 Validation Metrics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tcW w:type="dxa" w:w="234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Métrica</w:t>
            </w:r>
          </w:p>
        </w:tc>
        <w:tc>
          <w:tcPr>
            <w:tcW w:type="dxa" w:w="156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Valor</w:t>
            </w:r>
          </w:p>
        </w:tc>
        <w:tc>
          <w:tcPr>
            <w:tcW w:type="dxa" w:w="156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Umbral</w:t>
            </w:r>
          </w:p>
        </w:tc>
        <w:tc>
          <w:tcPr>
            <w:tcW w:type="dxa" w:w="156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¿Supera?</w:t>
            </w:r>
          </w:p>
        </w:tc>
        <w:tc>
          <w:tcPr>
            <w:tcW w:type="dxa" w:w="234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Interpretación</w:t>
            </w:r>
          </w:p>
        </w:tc>
      </w:tr>
      <w:tr>
        <w:trPr>
          <w:tblHeader w:val="false"/>
        </w:trPr>
        <w:tc>
          <w:tcPr>
            <w:tcW w:type="dxa" w:w="23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F3864"/>
                <w:sz w:val="18"/>
                <w:szCs w:val="18"/>
              </w:rPr>
              <w:t xml:space="preserve">AUC (discriminación)</w:t>
            </w:r>
          </w:p>
        </w:tc>
        <w:tc>
          <w:tcPr>
            <w:tcW w:type="dxa" w:w="156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F3864"/>
                <w:sz w:val="18"/>
                <w:szCs w:val="18"/>
              </w:rPr>
              <w:t xml:space="preserve">0.87</w:t>
            </w:r>
          </w:p>
        </w:tc>
        <w:tc>
          <w:tcPr>
            <w:tcW w:type="dxa" w:w="156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F3864"/>
                <w:sz w:val="18"/>
                <w:szCs w:val="18"/>
              </w:rPr>
              <w:t xml:space="preserve">≥ 0.80</w:t>
            </w:r>
          </w:p>
        </w:tc>
        <w:tc>
          <w:tcPr>
            <w:tcW w:type="dxa" w:w="156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jc w:val="center"/>
            </w:pPr>
            <w:r>
              <w:rPr>
                <w:rFonts w:ascii="Arial" w:cs="Arial" w:eastAsia="Arial" w:hAnsi="Arial"/>
                <w:b w:val="false"/>
                <w:bCs w:val="false"/>
                <w:color w:val="375623"/>
                <w:sz w:val="18"/>
                <w:szCs w:val="18"/>
              </w:rPr>
              <w:t xml:space="preserve">✓ SÍ</w:t>
            </w:r>
          </w:p>
        </w:tc>
        <w:tc>
          <w:tcPr>
            <w:tcW w:type="dxa" w:w="23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pPr>
              <w:jc w:val="left"/>
            </w:pPr>
            <w:r>
              <w:rPr>
                <w:rFonts w:ascii="Arial" w:cs="Arial" w:eastAsia="Arial" w:hAnsi="Arial"/>
                <w:b w:val="false"/>
                <w:bCs w:val="false"/>
                <w:color w:val="1F3864"/>
                <w:sz w:val="18"/>
                <w:szCs w:val="18"/>
              </w:rPr>
              <w:t xml:space="preserve">Clasificación GREEN vs no-GREEN excelente</w:t>
            </w:r>
          </w:p>
        </w:tc>
      </w:tr>
      <w:tr>
        <w:trPr>
          <w:tblHeader w:val="false"/>
        </w:trPr>
        <w:tc>
          <w:tcPr>
            <w:tcW w:type="dxa" w:w="23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F3864"/>
                <w:sz w:val="18"/>
                <w:szCs w:val="18"/>
              </w:rPr>
              <w:t xml:space="preserve">ECE (calibración)</w:t>
            </w:r>
          </w:p>
        </w:tc>
        <w:tc>
          <w:tcPr>
            <w:tcW w:type="dxa" w:w="1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F3864"/>
                <w:sz w:val="18"/>
                <w:szCs w:val="18"/>
              </w:rPr>
              <w:t xml:space="preserve">0.041</w:t>
            </w:r>
          </w:p>
        </w:tc>
        <w:tc>
          <w:tcPr>
            <w:tcW w:type="dxa" w:w="1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F3864"/>
                <w:sz w:val="18"/>
                <w:szCs w:val="18"/>
              </w:rPr>
              <w:t xml:space="preserve">≤ 0.05</w:t>
            </w:r>
          </w:p>
        </w:tc>
        <w:tc>
          <w:tcPr>
            <w:tcW w:type="dxa" w:w="156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jc w:val="center"/>
            </w:pPr>
            <w:r>
              <w:rPr>
                <w:rFonts w:ascii="Arial" w:cs="Arial" w:eastAsia="Arial" w:hAnsi="Arial"/>
                <w:b w:val="false"/>
                <w:bCs w:val="false"/>
                <w:color w:val="375623"/>
                <w:sz w:val="18"/>
                <w:szCs w:val="18"/>
              </w:rPr>
              <w:t xml:space="preserve">✓ SÍ</w:t>
            </w:r>
          </w:p>
        </w:tc>
        <w:tc>
          <w:tcPr>
            <w:tcW w:type="dxa" w:w="23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Arial" w:cs="Arial" w:eastAsia="Arial" w:hAnsi="Arial"/>
                <w:b w:val="false"/>
                <w:bCs w:val="false"/>
                <w:color w:val="1F3864"/>
                <w:sz w:val="18"/>
                <w:szCs w:val="18"/>
              </w:rPr>
              <w:t xml:space="preserve">Probabilidades bien calibradas</w:t>
            </w:r>
          </w:p>
        </w:tc>
      </w:tr>
      <w:tr>
        <w:trPr>
          <w:tblHeader w:val="false"/>
        </w:trPr>
        <w:tc>
          <w:tcPr>
            <w:tcW w:type="dxa" w:w="23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F3864"/>
                <w:sz w:val="18"/>
                <w:szCs w:val="18"/>
              </w:rPr>
              <w:t xml:space="preserve">Brier Score</w:t>
            </w:r>
          </w:p>
        </w:tc>
        <w:tc>
          <w:tcPr>
            <w:tcW w:type="dxa" w:w="156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F3864"/>
                <w:sz w:val="18"/>
                <w:szCs w:val="18"/>
              </w:rPr>
              <w:t xml:space="preserve">0.138</w:t>
            </w:r>
          </w:p>
        </w:tc>
        <w:tc>
          <w:tcPr>
            <w:tcW w:type="dxa" w:w="156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F3864"/>
                <w:sz w:val="18"/>
                <w:szCs w:val="18"/>
              </w:rPr>
              <w:t xml:space="preserve">≤ 0.15</w:t>
            </w:r>
          </w:p>
        </w:tc>
        <w:tc>
          <w:tcPr>
            <w:tcW w:type="dxa" w:w="156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jc w:val="center"/>
            </w:pPr>
            <w:r>
              <w:rPr>
                <w:rFonts w:ascii="Arial" w:cs="Arial" w:eastAsia="Arial" w:hAnsi="Arial"/>
                <w:b w:val="false"/>
                <w:bCs w:val="false"/>
                <w:color w:val="375623"/>
                <w:sz w:val="18"/>
                <w:szCs w:val="18"/>
              </w:rPr>
              <w:t xml:space="preserve">✓ SÍ</w:t>
            </w:r>
          </w:p>
        </w:tc>
        <w:tc>
          <w:tcPr>
            <w:tcW w:type="dxa" w:w="23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pPr>
              <w:jc w:val="left"/>
            </w:pPr>
            <w:r>
              <w:rPr>
                <w:rFonts w:ascii="Arial" w:cs="Arial" w:eastAsia="Arial" w:hAnsi="Arial"/>
                <w:b w:val="false"/>
                <w:bCs w:val="false"/>
                <w:color w:val="1F3864"/>
                <w:sz w:val="18"/>
                <w:szCs w:val="18"/>
              </w:rPr>
              <w:t xml:space="preserve">Error de pronóstico bajo</w:t>
            </w:r>
          </w:p>
        </w:tc>
      </w:tr>
      <w:tr>
        <w:trPr>
          <w:tblHeader w:val="false"/>
        </w:trPr>
        <w:tc>
          <w:tcPr>
            <w:tcW w:type="dxa" w:w="23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F3864"/>
                <w:sz w:val="18"/>
                <w:szCs w:val="18"/>
              </w:rPr>
              <w:t xml:space="preserve">Δt detección κ_conf</w:t>
            </w:r>
          </w:p>
        </w:tc>
        <w:tc>
          <w:tcPr>
            <w:tcW w:type="dxa" w:w="1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F3864"/>
                <w:sz w:val="18"/>
                <w:szCs w:val="18"/>
              </w:rPr>
              <w:t xml:space="preserve">~2 años</w:t>
            </w:r>
          </w:p>
        </w:tc>
        <w:tc>
          <w:tcPr>
            <w:tcW w:type="dxa" w:w="1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F3864"/>
                <w:sz w:val="18"/>
                <w:szCs w:val="18"/>
              </w:rPr>
              <w:t xml:space="preserve">—</w:t>
            </w:r>
          </w:p>
        </w:tc>
        <w:tc>
          <w:tcPr>
            <w:tcW w:type="dxa" w:w="156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jc w:val="center"/>
            </w:pPr>
            <w:r>
              <w:rPr>
                <w:rFonts w:ascii="Arial" w:cs="Arial" w:eastAsia="Arial" w:hAnsi="Arial"/>
                <w:b w:val="false"/>
                <w:bCs w:val="false"/>
                <w:color w:val="375623"/>
                <w:sz w:val="18"/>
                <w:szCs w:val="18"/>
              </w:rPr>
              <w:t xml:space="preserve">✓ SÍ</w:t>
            </w:r>
          </w:p>
        </w:tc>
        <w:tc>
          <w:tcPr>
            <w:tcW w:type="dxa" w:w="234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Arial" w:cs="Arial" w:eastAsia="Arial" w:hAnsi="Arial"/>
                <w:b w:val="false"/>
                <w:bCs w:val="false"/>
                <w:color w:val="1F3864"/>
                <w:sz w:val="18"/>
                <w:szCs w:val="18"/>
              </w:rPr>
              <w:t xml:space="preserve">LUM detecta crisis antes que consenso público</w:t>
            </w:r>
          </w:p>
        </w:tc>
      </w:tr>
      <w:tr>
        <w:trPr>
          <w:tblHeader w:val="false"/>
        </w:trPr>
        <w:tc>
          <w:tcPr>
            <w:tcW w:type="dxa" w:w="23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F3864"/>
                <w:sz w:val="18"/>
                <w:szCs w:val="18"/>
              </w:rPr>
              <w:t xml:space="preserve">State accuracy</w:t>
            </w:r>
          </w:p>
        </w:tc>
        <w:tc>
          <w:tcPr>
            <w:tcW w:type="dxa" w:w="156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F3864"/>
                <w:sz w:val="18"/>
                <w:szCs w:val="18"/>
              </w:rPr>
              <w:t xml:space="preserve">3/3 ventanas</w:t>
            </w:r>
          </w:p>
        </w:tc>
        <w:tc>
          <w:tcPr>
            <w:tcW w:type="dxa" w:w="156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F3864"/>
                <w:sz w:val="18"/>
                <w:szCs w:val="18"/>
              </w:rPr>
              <w:t xml:space="preserve">3/3</w:t>
            </w:r>
          </w:p>
        </w:tc>
        <w:tc>
          <w:tcPr>
            <w:tcW w:type="dxa" w:w="156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jc w:val="center"/>
            </w:pPr>
            <w:r>
              <w:rPr>
                <w:rFonts w:ascii="Arial" w:cs="Arial" w:eastAsia="Arial" w:hAnsi="Arial"/>
                <w:b w:val="false"/>
                <w:bCs w:val="false"/>
                <w:color w:val="375623"/>
                <w:sz w:val="18"/>
                <w:szCs w:val="18"/>
              </w:rPr>
              <w:t xml:space="preserve">✓ SÍ</w:t>
            </w:r>
          </w:p>
        </w:tc>
        <w:tc>
          <w:tcPr>
            <w:tcW w:type="dxa" w:w="234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pPr>
              <w:jc w:val="left"/>
            </w:pPr>
            <w:r>
              <w:rPr>
                <w:rFonts w:ascii="Arial" w:cs="Arial" w:eastAsia="Arial" w:hAnsi="Arial"/>
                <w:b w:val="false"/>
                <w:bCs w:val="false"/>
                <w:color w:val="1F3864"/>
                <w:sz w:val="18"/>
                <w:szCs w:val="18"/>
              </w:rPr>
              <w:t xml:space="preserve">Estado LUM coincide con estado experto</w:t>
            </w:r>
          </w:p>
        </w:tc>
      </w:tr>
    </w:tbl>
    <w:p>
      <w:pPr>
        <w:spacing w:after="80" w:before="80"/>
      </w:pPr>
    </w:p>
    <w:p>
      <w:pPr>
        <w:spacing w:after="60" w:before="60" w:line="276"/>
        <w:jc w:val="both"/>
      </w:pPr>
      <w:r>
        <w:rPr>
          <w:rFonts w:ascii="Times New Roman" w:cs="Times New Roman" w:eastAsia="Times New Roman" w:hAnsi="Times New Roman"/>
          <w:b w:val="false"/>
          <w:bCs w:val="false"/>
          <w:color w:val="1F3864"/>
          <w:sz w:val="22"/>
          <w:szCs w:val="22"/>
        </w:rPr>
        <w:t xml:space="preserve">The pooled AUC of 0.87 confirms strong discrimination between closure and non-closure states. ECE = 0.041 (&lt; threshold of 0.05) confirms that the probability outputs are well-calibrated: a LUM score of 0.847 should correspond to approximately 84.7% probability of closure, which aligns with the contemporaneous evidence state. The κ_conf early-warning property is particularly noteworthy: the index correctly identified the emerging contradiction in W2 before replication failures became mainstream, providing approximately 2 years of lead time.</w:t>
      </w:r>
    </w:p>
    <w:p>
      <w:pPr>
        <w:pStyle w:val="Heading2"/>
        <w:spacing w:after="120" w:before="280"/>
      </w:pPr>
      <w:r>
        <w:rPr>
          <w:rFonts w:ascii="Times New Roman" w:cs="Times New Roman" w:eastAsia="Times New Roman" w:hAnsi="Times New Roman"/>
          <w:b/>
          <w:bCs/>
          <w:color w:val="2E75B6"/>
          <w:sz w:val="26"/>
          <w:szCs w:val="26"/>
        </w:rPr>
        <w:t xml:space="preserve">4.4 SHA-256 Bundle Fingerprints</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560"/>
        <w:gridCol w:w="1560"/>
        <w:gridCol w:w="1320"/>
        <w:gridCol w:w="2400"/>
        <w:gridCol w:w="1800"/>
      </w:tblGrid>
      <w:tr>
        <w:trPr>
          <w:tblHeader/>
        </w:trPr>
        <w:tc>
          <w:tcPr>
            <w:tcW w:type="dxa" w:w="7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t>
            </w:r>
          </w:p>
        </w:tc>
        <w:tc>
          <w:tcPr>
            <w:tcW w:type="dxa" w:w="15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Ventana</w:t>
            </w:r>
          </w:p>
        </w:tc>
        <w:tc>
          <w:tcPr>
            <w:tcW w:type="dxa" w:w="15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Período</w:t>
            </w:r>
          </w:p>
        </w:tc>
        <w:tc>
          <w:tcPr>
            <w:tcW w:type="dxa" w:w="13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LUM Score</w:t>
            </w:r>
          </w:p>
        </w:tc>
        <w:tc>
          <w:tcPr>
            <w:tcW w:type="dxa" w:w="2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SHA-256 (primeros 16)</w:t>
            </w:r>
          </w:p>
        </w:tc>
        <w:tc>
          <w:tcPr>
            <w:tcW w:type="dxa" w:w="1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Diagnóstico</w:t>
            </w:r>
          </w:p>
        </w:tc>
      </w:tr>
      <w:tr>
        <w:tc>
          <w:tcPr>
            <w:tcW w:type="dxa" w:w="7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F3864"/>
                <w:sz w:val="18"/>
                <w:szCs w:val="18"/>
              </w:rPr>
              <w:t xml:space="preserve">W1</w:t>
            </w:r>
          </w:p>
        </w:tc>
        <w:tc>
          <w:tcPr>
            <w:tcW w:type="dxa" w:w="156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jc w:val="center"/>
            </w:pPr>
            <w:r>
              <w:rPr>
                <w:rFonts w:ascii="Arial" w:cs="Arial" w:eastAsia="Arial" w:hAnsi="Arial"/>
                <w:b/>
                <w:bCs/>
                <w:color w:val="375623"/>
                <w:sz w:val="18"/>
                <w:szCs w:val="18"/>
              </w:rPr>
              <w:t xml:space="preserve">GREEN</w:t>
            </w:r>
          </w:p>
        </w:tc>
        <w:tc>
          <w:tcPr>
            <w:tcW w:type="dxa" w:w="1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F3864"/>
                <w:sz w:val="18"/>
                <w:szCs w:val="18"/>
              </w:rPr>
              <w:t xml:space="preserve">2005-2010</w:t>
            </w:r>
          </w:p>
        </w:tc>
        <w:tc>
          <w:tcPr>
            <w:tcW w:type="dxa" w:w="13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F3864"/>
                <w:sz w:val="18"/>
                <w:szCs w:val="18"/>
              </w:rPr>
              <w:t xml:space="preserve">0.847</w:t>
            </w:r>
          </w:p>
        </w:tc>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444444"/>
                <w:sz w:val="16"/>
                <w:szCs w:val="16"/>
              </w:rPr>
              <w:t xml:space="preserve">5ff8bd542704a018...</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Arial" w:cs="Arial" w:eastAsia="Arial" w:hAnsi="Arial"/>
                <w:b w:val="false"/>
                <w:bCs w:val="false"/>
                <w:color w:val="1F3864"/>
                <w:sz w:val="18"/>
                <w:szCs w:val="18"/>
              </w:rPr>
              <w:t xml:space="preserve">Estado: CLARION — cierre operativo</w:t>
            </w:r>
          </w:p>
        </w:tc>
      </w:tr>
      <w:tr>
        <w:tc>
          <w:tcPr>
            <w:tcW w:type="dxa" w:w="72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F3864"/>
                <w:sz w:val="18"/>
                <w:szCs w:val="18"/>
              </w:rPr>
              <w:t xml:space="preserve">W2</w:t>
            </w:r>
          </w:p>
        </w:tc>
        <w:tc>
          <w:tcPr>
            <w:tcW w:type="dxa" w:w="156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tcPr>
          <w:p>
            <w:pPr>
              <w:jc w:val="center"/>
            </w:pPr>
            <w:r>
              <w:rPr>
                <w:rFonts w:ascii="Arial" w:cs="Arial" w:eastAsia="Arial" w:hAnsi="Arial"/>
                <w:b/>
                <w:bCs/>
                <w:color w:val="7F6000"/>
                <w:sz w:val="18"/>
                <w:szCs w:val="18"/>
              </w:rPr>
              <w:t xml:space="preserve">AMBER</w:t>
            </w:r>
          </w:p>
        </w:tc>
        <w:tc>
          <w:tcPr>
            <w:tcW w:type="dxa" w:w="156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F3864"/>
                <w:sz w:val="18"/>
                <w:szCs w:val="18"/>
              </w:rPr>
              <w:t xml:space="preserve">2011-2015</w:t>
            </w:r>
          </w:p>
        </w:tc>
        <w:tc>
          <w:tcPr>
            <w:tcW w:type="dxa" w:w="132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F3864"/>
                <w:sz w:val="18"/>
                <w:szCs w:val="18"/>
              </w:rPr>
              <w:t xml:space="preserve">0.521</w:t>
            </w:r>
          </w:p>
        </w:tc>
        <w:tc>
          <w:tcPr>
            <w:tcW w:type="dxa" w:w="24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pPr>
              <w:jc w:val="left"/>
            </w:pPr>
            <w:r>
              <w:rPr>
                <w:rFonts w:ascii="Courier New" w:cs="Courier New" w:eastAsia="Courier New" w:hAnsi="Courier New"/>
                <w:b w:val="false"/>
                <w:bCs w:val="false"/>
                <w:color w:val="444444"/>
                <w:sz w:val="16"/>
                <w:szCs w:val="16"/>
              </w:rPr>
              <w:t xml:space="preserve">b2c050925c30da53...</w:t>
            </w:r>
          </w:p>
        </w:tc>
        <w:tc>
          <w:tcPr>
            <w:tcW w:type="dxa" w:w="1800"/>
            <w:tcBorders>
              <w:top w:val="single" w:color="BFBFBF" w:sz="1"/>
              <w:left w:val="single" w:color="BFBFBF" w:sz="1"/>
              <w:bottom w:val="single" w:color="BFBFBF" w:sz="1"/>
              <w:right w:val="single" w:color="BFBFBF" w:sz="1"/>
            </w:tcBorders>
            <w:shd w:fill="F7F7F7" w:val="clear"/>
            <w:tcMar>
              <w:top w:type="dxa" w:w="60"/>
              <w:left w:type="dxa" w:w="100"/>
              <w:bottom w:type="dxa" w:w="60"/>
              <w:right w:type="dxa" w:w="100"/>
            </w:tcMar>
          </w:tcPr>
          <w:p>
            <w:pPr>
              <w:jc w:val="left"/>
            </w:pPr>
            <w:r>
              <w:rPr>
                <w:rFonts w:ascii="Arial" w:cs="Arial" w:eastAsia="Arial" w:hAnsi="Arial"/>
                <w:b w:val="false"/>
                <w:bCs w:val="false"/>
                <w:color w:val="1F3864"/>
                <w:sz w:val="18"/>
                <w:szCs w:val="18"/>
              </w:rPr>
              <w:t xml:space="preserve">Estado: PSNC — evidencia parcial</w:t>
            </w:r>
          </w:p>
        </w:tc>
      </w:tr>
      <w:tr>
        <w:tc>
          <w:tcPr>
            <w:tcW w:type="dxa" w:w="7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F3864"/>
                <w:sz w:val="18"/>
                <w:szCs w:val="18"/>
              </w:rPr>
              <w:t xml:space="preserve">W3</w:t>
            </w:r>
          </w:p>
        </w:tc>
        <w:tc>
          <w:tcPr>
            <w:tcW w:type="dxa" w:w="1560"/>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tcPr>
          <w:p>
            <w:pPr>
              <w:jc w:val="center"/>
            </w:pPr>
            <w:r>
              <w:rPr>
                <w:rFonts w:ascii="Arial" w:cs="Arial" w:eastAsia="Arial" w:hAnsi="Arial"/>
                <w:b/>
                <w:bCs/>
                <w:color w:val="7B0000"/>
                <w:sz w:val="18"/>
                <w:szCs w:val="18"/>
              </w:rPr>
              <w:t xml:space="preserve">RED</w:t>
            </w:r>
          </w:p>
        </w:tc>
        <w:tc>
          <w:tcPr>
            <w:tcW w:type="dxa" w:w="1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F3864"/>
                <w:sz w:val="18"/>
                <w:szCs w:val="18"/>
              </w:rPr>
              <w:t xml:space="preserve">2016-2020</w:t>
            </w:r>
          </w:p>
        </w:tc>
        <w:tc>
          <w:tcPr>
            <w:tcW w:type="dxa" w:w="132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F3864"/>
                <w:sz w:val="18"/>
                <w:szCs w:val="18"/>
              </w:rPr>
              <w:t xml:space="preserve">0.298</w:t>
            </w:r>
          </w:p>
        </w:tc>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444444"/>
                <w:sz w:val="16"/>
                <w:szCs w:val="16"/>
              </w:rPr>
              <w:t xml:space="preserve">532a7c014c02b8d4...</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Arial" w:cs="Arial" w:eastAsia="Arial" w:hAnsi="Arial"/>
                <w:b w:val="false"/>
                <w:bCs w:val="false"/>
                <w:color w:val="1F3864"/>
                <w:sz w:val="18"/>
                <w:szCs w:val="18"/>
              </w:rPr>
              <w:t xml:space="preserve">Estado: NO-CIERRE — evidencia insuficiente</w:t>
            </w:r>
          </w:p>
        </w:tc>
      </w:tr>
    </w:tbl>
    <w:p>
      <w:pPr>
        <w:spacing w:after="80" w:before="80"/>
      </w:pPr>
    </w:p>
    <w:p>
      <w:pPr>
        <w:spacing w:after="60" w:before="60" w:line="276"/>
        <w:jc w:val="both"/>
      </w:pPr>
      <w:r>
        <w:rPr>
          <w:rFonts w:ascii="Times New Roman" w:cs="Times New Roman" w:eastAsia="Times New Roman" w:hAnsi="Times New Roman"/>
          <w:b w:val="false"/>
          <w:bCs w:val="false"/>
          <w:color w:val="1F3864"/>
          <w:sz w:val="22"/>
          <w:szCs w:val="22"/>
        </w:rPr>
        <w:t xml:space="preserve">All three bundles are deterministically fingerprinted using SHA-256. The fingerprint covers the complete bundle content (all indices, metadata, pack trace, and evidence set hash) and cannot be modified without invalidating the fingerprint. Bundles are available at the project repository.</w:t>
      </w:r>
    </w:p>
    <w:p>
      <w:r>
        <w:br w:type="page"/>
      </w:r>
    </w:p>
    <w:p>
      <w:pPr>
        <w:pStyle w:val="Heading1"/>
        <w:spacing w:after="160" w:before="400"/>
      </w:pPr>
      <w:r>
        <w:rPr>
          <w:rFonts w:ascii="Times New Roman" w:cs="Times New Roman" w:eastAsia="Times New Roman" w:hAnsi="Times New Roman"/>
          <w:b/>
          <w:bCs/>
          <w:color w:val="1F3864"/>
          <w:sz w:val="32"/>
          <w:szCs w:val="32"/>
        </w:rPr>
        <w:t xml:space="preserve">5. Discussion</w:t>
      </w:r>
    </w:p>
    <w:p>
      <w:pPr>
        <w:pBdr>
          <w:bottom w:val="single" w:color="2E75B6" w:sz="6" w:space="1"/>
        </w:pBdr>
        <w:spacing w:after="120" w:before="120"/>
      </w:pPr>
    </w:p>
    <w:p>
      <w:pPr>
        <w:pStyle w:val="Heading2"/>
        <w:spacing w:after="120" w:before="280"/>
      </w:pPr>
      <w:r>
        <w:rPr>
          <w:rFonts w:ascii="Times New Roman" w:cs="Times New Roman" w:eastAsia="Times New Roman" w:hAnsi="Times New Roman"/>
          <w:b/>
          <w:bCs/>
          <w:color w:val="2E75B6"/>
          <w:sz w:val="26"/>
          <w:szCs w:val="26"/>
        </w:rPr>
        <w:t xml:space="preserve">5.1 Prospective Detection Capability</w:t>
      </w:r>
    </w:p>
    <w:p>
      <w:pPr>
        <w:spacing w:after="60" w:before="60" w:line="276"/>
        <w:jc w:val="both"/>
      </w:pPr>
      <w:r>
        <w:rPr>
          <w:rFonts w:ascii="Times New Roman" w:cs="Times New Roman" w:eastAsia="Times New Roman" w:hAnsi="Times New Roman"/>
          <w:b w:val="false"/>
          <w:bCs w:val="false"/>
          <w:color w:val="1F3864"/>
          <w:sz w:val="22"/>
          <w:szCs w:val="22"/>
        </w:rPr>
        <w:t xml:space="preserve">The most significant finding is the κ_conf spike in W2. The contradiction index reached 0.64—well above the closure threshold—approximately two years before the scientific community broadly acknowledged the priming crisis. This demonstrates that LUM’s index architecture can provide early quantitative warning of field-level non-closure based on evidence available at the time, without the benefit of hindsight.</w:t>
      </w:r>
    </w:p>
    <w:p>
      <w:pPr>
        <w:spacing w:after="80" w:before="40"/>
      </w:pPr>
    </w:p>
    <w:p>
      <w:pPr>
        <w:spacing w:after="60" w:before="60" w:line="276"/>
        <w:jc w:val="both"/>
      </w:pPr>
      <w:r>
        <w:rPr>
          <w:rFonts w:ascii="Times New Roman" w:cs="Times New Roman" w:eastAsia="Times New Roman" w:hAnsi="Times New Roman"/>
          <w:b w:val="false"/>
          <w:bCs w:val="false"/>
          <w:color w:val="1F3864"/>
          <w:sz w:val="22"/>
          <w:szCs w:val="22"/>
        </w:rPr>
        <w:t xml:space="preserve">This property distinguishes LUM from retrospective demarcation approaches. Classical frameworks (Popper, Kuhn, Lakatos) can identify, after the fact, that a field was in crisis. LUM provides a contemporaneous signal: had an evaluator applied LUM-PE in 2013, the AMBER state and elevated κ_conf would have been present in the evidence at that point.</w:t>
      </w:r>
    </w:p>
    <w:p>
      <w:pPr>
        <w:pStyle w:val="Heading2"/>
        <w:spacing w:after="120" w:before="280"/>
      </w:pPr>
      <w:r>
        <w:rPr>
          <w:rFonts w:ascii="Times New Roman" w:cs="Times New Roman" w:eastAsia="Times New Roman" w:hAnsi="Times New Roman"/>
          <w:b/>
          <w:bCs/>
          <w:color w:val="2E75B6"/>
          <w:sz w:val="26"/>
          <w:szCs w:val="26"/>
        </w:rPr>
        <w:t xml:space="preserve">5.2 State Transition Interpretation</w:t>
      </w:r>
    </w:p>
    <w:p>
      <w:pPr>
        <w:spacing w:after="60" w:before="60" w:line="276"/>
        <w:jc w:val="both"/>
      </w:pPr>
      <w:r>
        <w:rPr>
          <w:rFonts w:ascii="Times New Roman" w:cs="Times New Roman" w:eastAsia="Times New Roman" w:hAnsi="Times New Roman"/>
          <w:b w:val="false"/>
          <w:bCs w:val="false"/>
          <w:color w:val="1F3864"/>
          <w:sz w:val="22"/>
          <w:szCs w:val="22"/>
        </w:rPr>
        <w:t xml:space="preserve">The GREEN → AMBER → RED trajectory matches the independently documented evolution of the field with 100% state accuracy. This is not trivial: the trajectory requires that the index thresholds are appropriately sensitive—not so loose as to classify a genuinely failing field as GREEN, and not so strict as to classify normal scientific uncertainty as RED. The AMBER state in W2 is the critical test: the field was under stress but had not yet fully collapsed, and AMBER correctly captures this intermediate condition by issuing a PSNC rather than declaring closure or non-closure definitively.</w:t>
      </w:r>
    </w:p>
    <w:p>
      <w:pPr>
        <w:pStyle w:val="Heading2"/>
        <w:spacing w:after="120" w:before="280"/>
      </w:pPr>
      <w:r>
        <w:rPr>
          <w:rFonts w:ascii="Times New Roman" w:cs="Times New Roman" w:eastAsia="Times New Roman" w:hAnsi="Times New Roman"/>
          <w:b/>
          <w:bCs/>
          <w:color w:val="2E75B6"/>
          <w:sz w:val="26"/>
          <w:szCs w:val="26"/>
        </w:rPr>
        <w:t xml:space="preserve">5.3 Limitations</w:t>
      </w:r>
    </w:p>
    <w:p>
      <w:pPr>
        <w:spacing w:after="60" w:before="60" w:line="276"/>
        <w:jc w:val="both"/>
      </w:pPr>
      <w:r>
        <w:rPr>
          <w:rFonts w:ascii="Times New Roman" w:cs="Times New Roman" w:eastAsia="Times New Roman" w:hAnsi="Times New Roman"/>
          <w:b w:val="false"/>
          <w:bCs w:val="false"/>
          <w:color w:val="1F3864"/>
          <w:sz w:val="22"/>
          <w:szCs w:val="22"/>
        </w:rPr>
        <w:t xml:space="preserve">Several limitations apply to this validation:</w:t>
      </w:r>
    </w:p>
    <w:p>
      <w:pPr>
        <w:spacing w:after="80" w:before="40"/>
      </w:pPr>
    </w:p>
    <w:p>
      <w:pPr>
        <w:pStyle w:val="ListParagraph"/>
        <w:numPr>
          <w:ilvl w:val="0"/>
          <w:numId w:val="2"/>
        </w:numPr>
        <w:spacing w:after="40" w:before="40" w:line="276"/>
        <w:jc w:val="both"/>
      </w:pPr>
      <w:r>
        <w:rPr>
          <w:rFonts w:ascii="Times New Roman" w:cs="Times New Roman" w:eastAsia="Times New Roman" w:hAnsi="Times New Roman"/>
          <w:color w:val="1F3864"/>
          <w:sz w:val="22"/>
          <w:szCs w:val="22"/>
        </w:rPr>
        <w:t xml:space="preserve">Primary index values derive from the paper’s corpus analysis and are not independently replicable from publicly available data in this release. Full reproducibility requires access to the 347-study dataset, which contains copyright-protected material.</w:t>
      </w:r>
    </w:p>
    <w:p>
      <w:pPr>
        <w:pStyle w:val="ListParagraph"/>
        <w:numPr>
          <w:ilvl w:val="0"/>
          <w:numId w:val="2"/>
        </w:numPr>
        <w:spacing w:after="40" w:before="40" w:line="276"/>
        <w:jc w:val="both"/>
      </w:pPr>
      <w:r>
        <w:rPr>
          <w:rFonts w:ascii="Times New Roman" w:cs="Times New Roman" w:eastAsia="Times New Roman" w:hAnsi="Times New Roman"/>
          <w:color w:val="1F3864"/>
          <w:sz w:val="22"/>
          <w:szCs w:val="22"/>
        </w:rPr>
        <w:t xml:space="preserve">Derived indices (Cons, Conf, Coverage, Shadow) involve contextual judgment and are not purely algorithmic in this release. Future work will fully automate extraction.</w:t>
      </w:r>
    </w:p>
    <w:p>
      <w:pPr>
        <w:pStyle w:val="ListParagraph"/>
        <w:numPr>
          <w:ilvl w:val="0"/>
          <w:numId w:val="2"/>
        </w:numPr>
        <w:spacing w:after="40" w:before="40" w:line="276"/>
        <w:jc w:val="both"/>
      </w:pPr>
      <w:r>
        <w:rPr>
          <w:rFonts w:ascii="Times New Roman" w:cs="Times New Roman" w:eastAsia="Times New Roman" w:hAnsi="Times New Roman"/>
          <w:color w:val="1F3864"/>
          <w:sz w:val="22"/>
          <w:szCs w:val="22"/>
        </w:rPr>
        <w:t xml:space="preserve">The W1 GREEN classification correctly reflects contemporaneous evidence but was “wrong in hindsight”—fraud invisible to the available evidence cannot be detected. This is a fundamental, not incidental, limitation of any evidence-based framework.</w:t>
      </w:r>
    </w:p>
    <w:p>
      <w:pPr>
        <w:pStyle w:val="ListParagraph"/>
        <w:numPr>
          <w:ilvl w:val="0"/>
          <w:numId w:val="2"/>
        </w:numPr>
        <w:spacing w:after="40" w:before="40" w:line="276"/>
        <w:jc w:val="both"/>
      </w:pPr>
      <w:r>
        <w:rPr>
          <w:rFonts w:ascii="Times New Roman" w:cs="Times New Roman" w:eastAsia="Times New Roman" w:hAnsi="Times New Roman"/>
          <w:color w:val="1F3864"/>
          <w:sz w:val="22"/>
          <w:szCs w:val="22"/>
        </w:rPr>
        <w:t xml:space="preserve">A single domain case does not constitute comprehensive validation. Cross-domain validation (cardiovascular pharmacology, behavioral economics) is reported separately in Rojas Aguayo (2026).</w:t>
      </w:r>
    </w:p>
    <w:p>
      <w:pPr>
        <w:pStyle w:val="Heading1"/>
        <w:spacing w:after="160" w:before="400"/>
      </w:pPr>
      <w:r>
        <w:rPr>
          <w:rFonts w:ascii="Times New Roman" w:cs="Times New Roman" w:eastAsia="Times New Roman" w:hAnsi="Times New Roman"/>
          <w:b/>
          <w:bCs/>
          <w:color w:val="1F3864"/>
          <w:sz w:val="32"/>
          <w:szCs w:val="32"/>
        </w:rPr>
        <w:t xml:space="preserve">6. Conclusion</w:t>
      </w:r>
    </w:p>
    <w:p>
      <w:pPr>
        <w:pBdr>
          <w:bottom w:val="single" w:color="2E75B6" w:sz="6" w:space="1"/>
        </w:pBdr>
        <w:spacing w:after="120" w:before="120"/>
      </w:pPr>
    </w:p>
    <w:p>
      <w:pPr>
        <w:spacing w:after="60" w:before="60" w:line="276"/>
        <w:jc w:val="both"/>
      </w:pPr>
      <w:r>
        <w:rPr>
          <w:rFonts w:ascii="Times New Roman" w:cs="Times New Roman" w:eastAsia="Times New Roman" w:hAnsi="Times New Roman"/>
          <w:b w:val="false"/>
          <w:bCs w:val="false"/>
          <w:color w:val="1F3864"/>
          <w:sz w:val="22"/>
          <w:szCs w:val="22"/>
        </w:rPr>
        <w:t xml:space="preserve">We have demonstrated that LUM-PE vΩ.2026-02 correctly classifies the temporal closure trajectory of social priming psychology with high discrimination (AUC = 0.87) and calibration (ECE = 0.041). The κ_conf spike in W2 provides an early-warning signal of field-level non-closure approximately two years before mainstream acknowledgment, demonstrating LUM’s prospective detection capability.</w:t>
      </w:r>
    </w:p>
    <w:p>
      <w:pPr>
        <w:spacing w:after="80" w:before="40"/>
      </w:pPr>
    </w:p>
    <w:p>
      <w:pPr>
        <w:spacing w:after="60" w:before="60" w:line="276"/>
        <w:jc w:val="both"/>
      </w:pPr>
      <w:r>
        <w:rPr>
          <w:rFonts w:ascii="Times New Roman" w:cs="Times New Roman" w:eastAsia="Times New Roman" w:hAnsi="Times New Roman"/>
          <w:b w:val="false"/>
          <w:bCs w:val="false"/>
          <w:color w:val="1F3864"/>
          <w:sz w:val="22"/>
          <w:szCs w:val="22"/>
        </w:rPr>
        <w:t xml:space="preserve">This case study converts the social priming literature from an example used to illustrate LUM’s framework into a formal validation artifact with auditable, SHA-256 fingerprinted bundles. The complete bundle set (W1, W2, W3) is publicly available alongside the LUM-PE implementation at the project repository.</w:t>
      </w:r>
    </w:p>
    <w:p>
      <w:pPr>
        <w:spacing w:after="80" w:before="40"/>
      </w:pPr>
    </w:p>
    <w:p>
      <w:pPr>
        <w:spacing w:after="60" w:before="60" w:line="276"/>
        <w:jc w:val="both"/>
      </w:pPr>
      <w:r>
        <w:rPr>
          <w:rFonts w:ascii="Times New Roman" w:cs="Times New Roman" w:eastAsia="Times New Roman" w:hAnsi="Times New Roman"/>
          <w:b w:val="false"/>
          <w:bCs w:val="false"/>
          <w:color w:val="1F3864"/>
          <w:sz w:val="22"/>
          <w:szCs w:val="22"/>
        </w:rPr>
        <w:t xml:space="preserve">The GREEN → AMBER → RED trajectory is not a post-hoc rationalization but a prospectively interpretable sequence: each state classification follows from the index values computable from the evidence available at that temporal window. This property—prospective applicability without hindsight—is the central operational requirement that Luminomatics is designed to satisfy.</w:t>
      </w:r>
    </w:p>
    <w:p>
      <w:r>
        <w:br w:type="page"/>
      </w:r>
    </w:p>
    <w:p>
      <w:pPr>
        <w:pStyle w:val="Heading1"/>
        <w:spacing w:after="160" w:before="400"/>
      </w:pPr>
      <w:r>
        <w:rPr>
          <w:rFonts w:ascii="Times New Roman" w:cs="Times New Roman" w:eastAsia="Times New Roman" w:hAnsi="Times New Roman"/>
          <w:b/>
          <w:bCs/>
          <w:color w:val="1F3864"/>
          <w:sz w:val="32"/>
          <w:szCs w:val="32"/>
        </w:rPr>
        <w:t xml:space="preserve">References</w:t>
      </w:r>
    </w:p>
    <w:p>
      <w:pPr>
        <w:pBdr>
          <w:bottom w:val="single" w:color="2E75B6" w:sz="6" w:space="1"/>
        </w:pBdr>
        <w:spacing w:after="120" w:before="120"/>
      </w:pPr>
    </w:p>
    <w:p>
      <w:pPr>
        <w:spacing w:after="60" w:before="60" w:line="276"/>
        <w:jc w:val="both"/>
      </w:pPr>
      <w:r>
        <w:rPr>
          <w:rFonts w:ascii="Times New Roman" w:cs="Times New Roman" w:eastAsia="Times New Roman" w:hAnsi="Times New Roman"/>
          <w:b w:val="false"/>
          <w:bCs w:val="false"/>
          <w:color w:val="1F3864"/>
          <w:sz w:val="22"/>
          <w:szCs w:val="22"/>
        </w:rPr>
        <w:t xml:space="preserve">Bargh, J.A., Chen, M., &amp; Burrows, L. (1996). Automaticity of social behavior: Direct effects of trait construct and stereotype activation on action. Journal of Personality and Social Psychology, 71(2), 230–244.</w:t>
      </w:r>
    </w:p>
    <w:p>
      <w:pPr>
        <w:spacing w:after="80" w:before="40"/>
      </w:pPr>
    </w:p>
    <w:p>
      <w:pPr>
        <w:spacing w:after="60" w:before="60" w:line="276"/>
        <w:jc w:val="both"/>
      </w:pPr>
      <w:r>
        <w:rPr>
          <w:rFonts w:ascii="Times New Roman" w:cs="Times New Roman" w:eastAsia="Times New Roman" w:hAnsi="Times New Roman"/>
          <w:b w:val="false"/>
          <w:bCs w:val="false"/>
          <w:color w:val="1F3864"/>
          <w:sz w:val="22"/>
          <w:szCs w:val="22"/>
        </w:rPr>
        <w:t xml:space="preserve">Doyen, S., Klein, O., Pichon, C.L., &amp; Cleeremans, A. (2012). Behavioral priming: It’s all in the mind, but whose mind? PLoS ONE, 7(1), e29081.</w:t>
      </w:r>
    </w:p>
    <w:p>
      <w:pPr>
        <w:spacing w:after="80" w:before="40"/>
      </w:pPr>
    </w:p>
    <w:p>
      <w:pPr>
        <w:spacing w:after="60" w:before="60" w:line="276"/>
        <w:jc w:val="both"/>
      </w:pPr>
      <w:r>
        <w:rPr>
          <w:rFonts w:ascii="Times New Roman" w:cs="Times New Roman" w:eastAsia="Times New Roman" w:hAnsi="Times New Roman"/>
          <w:b w:val="false"/>
          <w:bCs w:val="false"/>
          <w:color w:val="1F3864"/>
          <w:sz w:val="22"/>
          <w:szCs w:val="22"/>
        </w:rPr>
        <w:t xml:space="preserve">Levelt Committee, Noort Committee, &amp; Drenth Committee. (2012). Flawed science: The fraudulent research practices of social psychologist Diederik Stapel. Tilburg University.</w:t>
      </w:r>
    </w:p>
    <w:p>
      <w:pPr>
        <w:spacing w:after="80" w:before="40"/>
      </w:pPr>
    </w:p>
    <w:p>
      <w:pPr>
        <w:spacing w:after="60" w:before="60" w:line="276"/>
        <w:jc w:val="both"/>
      </w:pPr>
      <w:r>
        <w:rPr>
          <w:rFonts w:ascii="Times New Roman" w:cs="Times New Roman" w:eastAsia="Times New Roman" w:hAnsi="Times New Roman"/>
          <w:b w:val="false"/>
          <w:bCs w:val="false"/>
          <w:color w:val="1F3864"/>
          <w:sz w:val="22"/>
          <w:szCs w:val="22"/>
        </w:rPr>
        <w:t xml:space="preserve">Open Science Collaboration. (2015). Estimating the reproducibility of psychological science. Science, 349(6251), aac4716.</w:t>
      </w:r>
    </w:p>
    <w:p>
      <w:pPr>
        <w:spacing w:after="80" w:before="40"/>
      </w:pPr>
    </w:p>
    <w:p>
      <w:pPr>
        <w:spacing w:after="60" w:before="60" w:line="276"/>
        <w:jc w:val="both"/>
      </w:pPr>
      <w:r>
        <w:rPr>
          <w:rFonts w:ascii="Times New Roman" w:cs="Times New Roman" w:eastAsia="Times New Roman" w:hAnsi="Times New Roman"/>
          <w:b w:val="false"/>
          <w:bCs w:val="false"/>
          <w:color w:val="1F3864"/>
          <w:sz w:val="22"/>
          <w:szCs w:val="22"/>
        </w:rPr>
        <w:t xml:space="preserve">Klein, R.A., et al. (2014). Investigating variation in replicability: A “Many Labs” replication project. Social Psychology, 45(3), 142–152.</w:t>
      </w:r>
    </w:p>
    <w:p>
      <w:pPr>
        <w:spacing w:after="80" w:before="40"/>
      </w:pPr>
    </w:p>
    <w:p>
      <w:pPr>
        <w:spacing w:after="60" w:before="60" w:line="276"/>
        <w:jc w:val="both"/>
      </w:pPr>
      <w:r>
        <w:rPr>
          <w:rFonts w:ascii="Times New Roman" w:cs="Times New Roman" w:eastAsia="Times New Roman" w:hAnsi="Times New Roman"/>
          <w:b w:val="false"/>
          <w:bCs w:val="false"/>
          <w:color w:val="1F3864"/>
          <w:sz w:val="22"/>
          <w:szCs w:val="22"/>
        </w:rPr>
        <w:t xml:space="preserve">Rojas Aguayo, J.D. (2026). Luminomatics (LUM): A computable criterion of scientific closure for operational demarcation. Unpublished manuscript. Laboratorio de Luminómatica, Ciudad de México.</w:t>
      </w:r>
    </w:p>
    <w:p>
      <w:pPr>
        <w:spacing w:after="80" w:before="40"/>
      </w:pPr>
    </w:p>
    <w:p>
      <w:pPr>
        <w:spacing w:after="60" w:before="60" w:line="276"/>
        <w:jc w:val="both"/>
      </w:pPr>
      <w:r>
        <w:rPr>
          <w:rFonts w:ascii="Times New Roman" w:cs="Times New Roman" w:eastAsia="Times New Roman" w:hAnsi="Times New Roman"/>
          <w:b w:val="false"/>
          <w:bCs w:val="false"/>
          <w:color w:val="1F3864"/>
          <w:sz w:val="22"/>
          <w:szCs w:val="22"/>
        </w:rPr>
        <w:t xml:space="preserve">Rojas Aguayo, J.D. (2026). LUM-PE: Luminomatics Public Edition—Universal Resolution Engine (v0.1.0). GitHub. https://github.com/YOUR_USERNAME/lum-pe</w:t>
      </w:r>
    </w:p>
    <w:p>
      <w:pPr>
        <w:spacing w:after="8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BFBFBF" w:sz="0"/>
              <w:left w:val="single" w:color="2E75B6" w:sz="12"/>
              <w:bottom w:val="none" w:color="BFBFBF" w:sz="0"/>
              <w:right w:val="none" w:color="BFBFBF" w:sz="0"/>
            </w:tcBorders>
            <w:shd w:fill="EBF3FB" w:val="clear"/>
            <w:tcMar>
              <w:top w:type="dxa" w:w="100"/>
              <w:left w:type="dxa" w:w="180"/>
              <w:bottom w:type="dxa" w:w="100"/>
              <w:right w:type="dxa" w:w="180"/>
            </w:tcMar>
          </w:tcPr>
          <w:p>
            <w:pPr>
              <w:spacing w:after="30" w:before="30"/>
            </w:pPr>
            <w:r>
              <w:rPr>
                <w:rFonts w:ascii="Times New Roman" w:cs="Times New Roman" w:eastAsia="Times New Roman" w:hAnsi="Times New Roman"/>
                <w:color w:val="2E75B6"/>
                <w:sz w:val="20"/>
                <w:szCs w:val="20"/>
              </w:rPr>
              <w:t xml:space="preserve">BUNDLE FILES (disponibles en PUBLICACION_LUM/VALIDATION_PRIMING/):</w:t>
            </w:r>
          </w:p>
          <w:p>
            <w:pPr>
              <w:spacing w:after="30" w:before="30"/>
            </w:pPr>
            <w:r>
              <w:rPr>
                <w:rFonts w:ascii="Times New Roman" w:cs="Times New Roman" w:eastAsia="Times New Roman" w:hAnsi="Times New Roman"/>
                <w:color w:val="2E75B6"/>
                <w:sz w:val="20"/>
                <w:szCs w:val="20"/>
              </w:rPr>
              <w:t xml:space="preserve">  bundle_priming_W1_2005-2010.json   SHA-256: 5ff8bd542704a018...</w:t>
            </w:r>
          </w:p>
          <w:p>
            <w:pPr>
              <w:spacing w:after="30" w:before="30"/>
            </w:pPr>
            <w:r>
              <w:rPr>
                <w:rFonts w:ascii="Times New Roman" w:cs="Times New Roman" w:eastAsia="Times New Roman" w:hAnsi="Times New Roman"/>
                <w:color w:val="2E75B6"/>
                <w:sz w:val="20"/>
                <w:szCs w:val="20"/>
              </w:rPr>
              <w:t xml:space="preserve">  bundle_priming_W2_2011-2015.json   SHA-256: b2c050925c30da53...</w:t>
            </w:r>
          </w:p>
          <w:p>
            <w:pPr>
              <w:spacing w:after="30" w:before="30"/>
            </w:pPr>
            <w:r>
              <w:rPr>
                <w:rFonts w:ascii="Times New Roman" w:cs="Times New Roman" w:eastAsia="Times New Roman" w:hAnsi="Times New Roman"/>
                <w:color w:val="2E75B6"/>
                <w:sz w:val="20"/>
                <w:szCs w:val="20"/>
              </w:rPr>
              <w:t xml:space="preserve">  bundle_priming_W3_2016-2020.json   SHA-256: 532a7c014c02b8d4...</w:t>
            </w:r>
          </w:p>
          <w:p>
            <w:pPr>
              <w:spacing w:after="30" w:before="30"/>
            </w:pPr>
            <w:r>
              <w:rPr>
                <w:rFonts w:ascii="Times New Roman" w:cs="Times New Roman" w:eastAsia="Times New Roman" w:hAnsi="Times New Roman"/>
                <w:color w:val="2E75B6"/>
                <w:sz w:val="20"/>
                <w:szCs w:val="20"/>
              </w:rPr>
              <w:t xml:space="preserve"/>
            </w:r>
          </w:p>
          <w:p>
            <w:pPr>
              <w:spacing w:after="30" w:before="30"/>
            </w:pPr>
            <w:r>
              <w:rPr>
                <w:rFonts w:ascii="Times New Roman" w:cs="Times New Roman" w:eastAsia="Times New Roman" w:hAnsi="Times New Roman"/>
                <w:color w:val="2E75B6"/>
                <w:sz w:val="20"/>
                <w:szCs w:val="20"/>
              </w:rPr>
              <w:t xml:space="preserve">Pack: SOC_DiD_v3 • LUM-PE vΩ.2026-02 • Julio David Rojas Aguayo • ORCID 0009-0001-0800-5303</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6"/>
        <w:szCs w:val="16"/>
      </w:rPr>
      <w:t xml:space="preserve">Julio David Rojas Aguayo • ORCID 0009-0001-0800-5303 • jules_pintor@outlook.com     </w:t>
    </w:r>
    <w:r>
      <w:rPr>
        <w:rFonts w:ascii="Arial" w:cs="Arial" w:eastAsia="Arial" w:hAnsi="Arial"/>
        <w:b/>
        <w:bCs/>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7920"/>
      </w:tabs>
    </w:pPr>
    <w:r>
      <w:rPr>
        <w:rFonts w:ascii="Arial" w:cs="Arial" w:eastAsia="Arial" w:hAnsi="Arial"/>
        <w:b/>
        <w:bCs/>
        <w:color w:val="2E75B6"/>
        <w:sz w:val="18"/>
        <w:szCs w:val="18"/>
      </w:rPr>
      <w:t xml:space="preserve">LUM — Validation Case Study: Social Priming Psychology</w:t>
    </w:r>
    <w:r>
      <w:rPr>
        <w:rFonts w:ascii="Arial" w:cs="Arial" w:eastAsia="Arial" w:hAnsi="Arial"/>
        <w:color w:val="888888"/>
        <w:sz w:val="18"/>
        <w:szCs w:val="18"/>
      </w:rPr>
      <w:t xml:space="preserve">		Rojas Aguayo,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2E75B6"/>
      <w:sz w:val="26"/>
      <w:szCs w:val="26"/>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2026-03-16T22:33:17.952Z</dcterms:created>
  <dcterms:modified xsi:type="dcterms:W3CDTF">2026-03-16T22:33:17.952Z</dcterms:modified>
</cp:coreProperties>
</file>

<file path=docProps/custom.xml><?xml version="1.0" encoding="utf-8"?>
<Properties xmlns="http://schemas.openxmlformats.org/officeDocument/2006/custom-properties" xmlns:vt="http://schemas.openxmlformats.org/officeDocument/2006/docPropsVTypes"/>
</file>