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enroll in winter courses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ensure loans are paused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grace runs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crex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crex input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crex initial conditions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crex run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lamp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lamp input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fix grid (higher density near center, even more coarse near edges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lamp initial conditions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lamp run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poster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background + motivation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parse thesis proposal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read (was it fujii? ohm) recent paper on that 2.5D simulations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marghitu parts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fang part on Q, E0 -&gt; ionization rate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knight / Kjell Rönnmark 2002 part on E0 -&gt; accelerated current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Robinsonet al.[1987] (for electrons, Σe), and Galand and Richmond [2001] for (for protons, Σp) Q, E0 -&gt; SIGP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Copy and adjust the gemini description from proposal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fix aurora.m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background E0 and Q are set in BG_precip namelist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start with j|| and E0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high\low E0 being two pops or 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edge gsls being constant width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define J|| to have different widths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ensure it still integrates to zero per cut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get Q from E0 using maxwellian differential hemispherical number flux from fang 2008, eq (1):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p>
              <m:sSupPr>
                <m:ctrlPr>
                  <w:rPr>
                    <w:color w:val="ff0000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color w:val="ff0000"/>
                        <w:sz w:val="18"/>
                        <w:szCs w:val="18"/>
                      </w:rPr>
                      <m:t xml:space="preserve">E</m:t>
                    </m:r>
                  </m:e>
                  <m:sub>
                    <m:r>
                      <w:rPr>
                        <w:color w:val="ff0000"/>
                        <w:sz w:val="18"/>
                        <w:szCs w:val="18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color w:val="ff0000"/>
                    <w:sz w:val="18"/>
                    <w:szCs w:val="18"/>
                  </w:rPr>
                  <m:t xml:space="preserve">3</m:t>
                </m:r>
              </m:sup>
            </m:sSup>
          </m:den>
        </m:f>
        <m:r>
          <w:rPr>
            <w:color w:val="ff0000"/>
            <w:sz w:val="18"/>
            <w:szCs w:val="18"/>
          </w:rPr>
          <m:t xml:space="preserve">exp(-E/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r>
          <w:rPr>
            <w:color w:val="ff0000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# of e- with energies between E and E+dE / area /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r>
          <w:rPr>
            <w:color w:val="ff0000"/>
            <w:sz w:val="18"/>
            <w:szCs w:val="18"/>
          </w:rPr>
          <m:t xml:space="preserve">e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amount of charge from e- with energies between E and E+dE / area / 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=e</m:t>
        </m:r>
        <m:nary>
          <m:naryPr>
            <m:chr m:val="∫"/>
            <m:ctrlPr>
              <w:rPr>
                <w:color w:val="ff0000"/>
                <w:sz w:val="18"/>
                <w:szCs w:val="18"/>
              </w:rPr>
            </m:ctrlPr>
          </m:naryPr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  <m:sup>
            <m:r>
              <w:rPr>
                <w:color w:val="ff0000"/>
                <w:sz w:val="18"/>
                <w:szCs w:val="18"/>
              </w:rPr>
              <m:t>∞</m:t>
            </m:r>
          </m:sup>
        </m:nary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r>
              <w:rPr>
                <w:color w:val="ff0000"/>
                <w:sz w:val="18"/>
                <w:szCs w:val="18"/>
              </w:rPr>
              <m:t xml:space="preserve">e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den>
        </m:f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allow for use of phi, not v, nor flow2pot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use Robinson 1987 / Galand and Richmond 2001: E0, Q -&gt; SIGP, SIGH (for electrons and protons) see marghitu eqs (6-8) in keV and mW/m^2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e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40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16+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=5.7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e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do runs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null: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a super boring arc when given 3D?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Maxwells eqns are 3D, current finds path into 3rd dim. least resistance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mallin 2d v 3d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how well does this picture hold up? are there eddies?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eddies likely a result of dimensional constraint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Q low E0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what's the altitude dependence of precip?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the higher the ionization dump, the more like mallinckrodt, less J_H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do U-shape potentials form to allow for more J_H i.e. less joule heating? Is this energy difference balanced by j|| * E||?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sharc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it cant no more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precip arc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we have local gradients?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make concise input plots, or example thereof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fix fluxtube plots to look presentable and add j||, ne, sigma, cuts, efield even?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proposal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 mike’s examples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paper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induction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fang2010 fix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integral described in fang notebook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mask on fang if &lt;100 eV, just have ion_rate=0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081020"/>
            <wp:effectExtent b="0" l="0" r="0" t="0"/>
            <wp:docPr descr="Chart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99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B56E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kykfOeBJ475mJ/VEx36bdZauQ==">AMUW2mVyPGDSk9DOU4CkkfDwWIc02UpkIKSkZskqvIacp5Twrq9qtqcLq0kMejwb6FlcHqMVumyjrREfx3M4TVpwXAMKAbqFj0i75FrjttmyHbbwPXoP+D0=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2022-10-26T14:55:00Z</dcterms:created>
  <dc:creator>Jules Van Irsel</dc:creator>
</cp:coreProperties>
</file>