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EC34" w14:textId="1220D0D0" w:rsidR="00A3739D" w:rsidRPr="00F94C67" w:rsidRDefault="00F94C67" w:rsidP="00F94C67">
      <w:pPr>
        <w:pStyle w:val="Ttulo1"/>
        <w:pBdr>
          <w:bottom w:val="double" w:sz="6" w:space="1" w:color="auto"/>
        </w:pBdr>
        <w:spacing w:after="240"/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Kudeaketa Plana</w:t>
      </w:r>
    </w:p>
    <w:p w14:paraId="713A0F8A" w14:textId="6B59B85E" w:rsidR="004627F5" w:rsidRDefault="00F94C67" w:rsidP="00F94C67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94C67">
        <w:rPr>
          <w:rFonts w:ascii="Arial" w:hAnsi="Arial" w:cs="Arial"/>
          <w:sz w:val="20"/>
          <w:szCs w:val="20"/>
        </w:rPr>
        <w:t xml:space="preserve">Kudeaketa plana </w:t>
      </w:r>
      <w:r w:rsidRPr="00F94C67">
        <w:rPr>
          <w:rFonts w:ascii="Arial" w:hAnsi="Arial" w:cs="Arial"/>
          <w:b/>
          <w:bCs/>
          <w:sz w:val="20"/>
          <w:szCs w:val="20"/>
        </w:rPr>
        <w:t>PMBOK gida-liburuaren arabera</w:t>
      </w:r>
      <w:r w:rsidRPr="00F94C67">
        <w:rPr>
          <w:rFonts w:ascii="Arial" w:hAnsi="Arial" w:cs="Arial"/>
          <w:sz w:val="20"/>
          <w:szCs w:val="20"/>
        </w:rPr>
        <w:t xml:space="preserve"> egin da</w:t>
      </w:r>
      <w:r w:rsidR="00F12F18" w:rsidRPr="00F94C67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Hori dela eta, liburu horretan aipatzen diren kudeaketa mota batzuk azalduko dira dokumentu honetan, guztiak ez baitira behar proiektu honetarako.</w:t>
      </w:r>
    </w:p>
    <w:p w14:paraId="1C437FFE" w14:textId="77777777" w:rsidR="004627F5" w:rsidRPr="00F94C67" w:rsidRDefault="004627F5" w:rsidP="004627F5">
      <w:pPr>
        <w:pStyle w:val="Ttulo2"/>
        <w:spacing w:after="24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4C67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Kalitatearen Kudeaketa</w:t>
      </w:r>
    </w:p>
    <w:p w14:paraId="6491E240" w14:textId="77777777" w:rsidR="004627F5" w:rsidRDefault="004627F5" w:rsidP="004627F5">
      <w:pPr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BA1F5D">
        <w:rPr>
          <w:rFonts w:ascii="Arial" w:eastAsia="Times New Roman" w:hAnsi="Arial" w:cs="Arial"/>
          <w:sz w:val="20"/>
          <w:szCs w:val="20"/>
          <w:lang w:eastAsia="es-ES"/>
        </w:rPr>
        <w:t>Proiektuaren  tamaina eta  bereziki,  egile  bakar  batek  egindako  proiektua  dela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BA1F5D">
        <w:rPr>
          <w:rFonts w:ascii="Arial" w:eastAsia="Times New Roman" w:hAnsi="Arial" w:cs="Arial"/>
          <w:sz w:val="20"/>
          <w:szCs w:val="20"/>
          <w:lang w:eastAsia="es-ES"/>
        </w:rPr>
        <w:t xml:space="preserve">kontuan hartuta,  kalitatea zaintzeko </w:t>
      </w:r>
      <w:r>
        <w:rPr>
          <w:rFonts w:ascii="Arial" w:eastAsia="Times New Roman" w:hAnsi="Arial" w:cs="Arial"/>
          <w:sz w:val="20"/>
          <w:szCs w:val="20"/>
          <w:lang w:eastAsia="es-ES"/>
        </w:rPr>
        <w:t>hiru aspektu kontrolatu behar dira</w:t>
      </w:r>
      <w:r w:rsidRPr="00BA1F5D">
        <w:rPr>
          <w:rFonts w:ascii="Arial" w:eastAsia="Times New Roman" w:hAnsi="Arial" w:cs="Arial"/>
          <w:sz w:val="20"/>
          <w:szCs w:val="20"/>
          <w:lang w:eastAsia="es-ES"/>
        </w:rPr>
        <w:t>:</w:t>
      </w:r>
    </w:p>
    <w:p w14:paraId="4BA1AD2E" w14:textId="77777777" w:rsidR="004627F5" w:rsidRPr="008B0362" w:rsidRDefault="004627F5" w:rsidP="004627F5">
      <w:pPr>
        <w:pStyle w:val="Prrafodelista"/>
        <w:numPr>
          <w:ilvl w:val="0"/>
          <w:numId w:val="5"/>
        </w:numPr>
        <w:ind w:left="714" w:hanging="357"/>
        <w:contextualSpacing w:val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8B0362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Inplementazioaren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kalitatea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kode-mailako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inplementazioa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egokia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dela eta software arrunten patroiak jarraitzen direla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bermatzeko.</w:t>
      </w:r>
    </w:p>
    <w:p w14:paraId="147DA830" w14:textId="77777777" w:rsidR="004627F5" w:rsidRPr="008B0362" w:rsidRDefault="004627F5" w:rsidP="004627F5">
      <w:pPr>
        <w:pStyle w:val="Prrafodelista"/>
        <w:numPr>
          <w:ilvl w:val="0"/>
          <w:numId w:val="5"/>
        </w:numPr>
        <w:ind w:left="714" w:hanging="357"/>
        <w:contextualSpacing w:val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8B0362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Funtzionalitate eta ezaugarrien kalitatea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produktuak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bete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behar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 xml:space="preserve">dituen ezaugarri eta espezifikazioen kontrola. </w:t>
      </w:r>
    </w:p>
    <w:p w14:paraId="33A9F12F" w14:textId="77777777" w:rsidR="004627F5" w:rsidRPr="008B0362" w:rsidRDefault="004627F5" w:rsidP="004627F5">
      <w:pPr>
        <w:pStyle w:val="Prrafodelista"/>
        <w:numPr>
          <w:ilvl w:val="0"/>
          <w:numId w:val="5"/>
        </w:numPr>
        <w:ind w:left="714" w:hanging="357"/>
        <w:contextualSpacing w:val="0"/>
        <w:jc w:val="both"/>
        <w:rPr>
          <w:rFonts w:ascii="Arial" w:hAnsi="Arial" w:cs="Arial"/>
          <w:noProof/>
          <w:sz w:val="20"/>
          <w:szCs w:val="20"/>
        </w:rPr>
      </w:pPr>
      <w:r w:rsidRPr="008B0362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Memoria,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dokumentazioa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eta</w:t>
      </w: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aurkezpenaren kalitatea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: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 xml:space="preserve">proiektuak </w:t>
      </w:r>
      <w:proofErr w:type="spellStart"/>
      <w:r w:rsidRPr="008B0362">
        <w:rPr>
          <w:rFonts w:ascii="Arial" w:eastAsia="Times New Roman" w:hAnsi="Arial" w:cs="Arial"/>
          <w:sz w:val="20"/>
          <w:szCs w:val="20"/>
          <w:lang w:eastAsia="es-ES"/>
        </w:rPr>
        <w:t>atxikituta</w:t>
      </w:r>
      <w:proofErr w:type="spellEnd"/>
      <w:r w:rsidRPr="008B0362">
        <w:rPr>
          <w:rFonts w:ascii="Arial" w:eastAsia="Times New Roman" w:hAnsi="Arial" w:cs="Arial"/>
          <w:sz w:val="20"/>
          <w:szCs w:val="20"/>
          <w:lang w:eastAsia="es-ES"/>
        </w:rPr>
        <w:t xml:space="preserve"> izan behar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 xml:space="preserve">duen dokumentazio  eta  memoriaren  kalitatea.  Adostutako  estandarrak betetzen diren (CCII eta </w:t>
      </w:r>
      <w:proofErr w:type="spellStart"/>
      <w:r w:rsidRPr="008B0362">
        <w:rPr>
          <w:rFonts w:ascii="Arial" w:eastAsia="Times New Roman" w:hAnsi="Arial" w:cs="Arial"/>
          <w:sz w:val="20"/>
          <w:szCs w:val="20"/>
          <w:lang w:eastAsia="es-ES"/>
        </w:rPr>
        <w:t>OpenUP</w:t>
      </w:r>
      <w:proofErr w:type="spellEnd"/>
      <w:r w:rsidRPr="008B0362">
        <w:rPr>
          <w:rFonts w:ascii="Arial" w:eastAsia="Times New Roman" w:hAnsi="Arial" w:cs="Arial"/>
          <w:sz w:val="20"/>
          <w:szCs w:val="20"/>
          <w:lang w:eastAsia="es-ES"/>
        </w:rPr>
        <w:t>) ziurtatu behar da, bai eta artefaktu guztiak atal edo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sekzio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8B0362">
        <w:rPr>
          <w:rFonts w:ascii="Arial" w:eastAsia="Times New Roman" w:hAnsi="Arial" w:cs="Arial"/>
          <w:sz w:val="20"/>
          <w:szCs w:val="20"/>
          <w:lang w:eastAsia="es-ES"/>
        </w:rPr>
        <w:t>guztiekin beteta  daudela. Gainera,  webgunearen  kalitate  kontrola egin behar da.</w:t>
      </w:r>
    </w:p>
    <w:p w14:paraId="19967750" w14:textId="77777777" w:rsidR="004627F5" w:rsidRDefault="004627F5" w:rsidP="004627F5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Aspektu horiek kontrolatzeko Gradu Amaierako Lanaren tutorearen laguntza egongo da eskuragarri, hurrengo ardurak zehaztuz: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27F5" w:rsidRPr="008B0362" w14:paraId="2870D3C5" w14:textId="77777777" w:rsidTr="00137816">
        <w:trPr>
          <w:trHeight w:val="454"/>
        </w:trPr>
        <w:tc>
          <w:tcPr>
            <w:tcW w:w="4247" w:type="dxa"/>
            <w:shd w:val="clear" w:color="auto" w:fill="8EAADB" w:themeFill="accent1" w:themeFillTint="99"/>
            <w:vAlign w:val="center"/>
          </w:tcPr>
          <w:p w14:paraId="3C6BE65E" w14:textId="77777777" w:rsidR="004627F5" w:rsidRPr="008B0362" w:rsidRDefault="004627F5" w:rsidP="00137816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8B036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Rolak</w:t>
            </w:r>
          </w:p>
        </w:tc>
        <w:tc>
          <w:tcPr>
            <w:tcW w:w="4247" w:type="dxa"/>
            <w:shd w:val="clear" w:color="auto" w:fill="8EAADB" w:themeFill="accent1" w:themeFillTint="99"/>
            <w:vAlign w:val="center"/>
          </w:tcPr>
          <w:p w14:paraId="127187BB" w14:textId="77777777" w:rsidR="004627F5" w:rsidRPr="008B0362" w:rsidRDefault="004627F5" w:rsidP="00137816">
            <w:pPr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8B0362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Ardurak</w:t>
            </w:r>
          </w:p>
        </w:tc>
      </w:tr>
      <w:tr w:rsidR="004627F5" w14:paraId="2C7A5338" w14:textId="77777777" w:rsidTr="00137816">
        <w:trPr>
          <w:trHeight w:val="454"/>
        </w:trPr>
        <w:tc>
          <w:tcPr>
            <w:tcW w:w="4247" w:type="dxa"/>
            <w:vAlign w:val="center"/>
          </w:tcPr>
          <w:p w14:paraId="0B79074F" w14:textId="77777777" w:rsidR="004627F5" w:rsidRDefault="004627F5" w:rsidP="00137816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Proiektuaren egilea (JRR)</w:t>
            </w:r>
          </w:p>
        </w:tc>
        <w:tc>
          <w:tcPr>
            <w:tcW w:w="4247" w:type="dxa"/>
            <w:vAlign w:val="center"/>
          </w:tcPr>
          <w:p w14:paraId="3D1A13E7" w14:textId="77777777" w:rsidR="004627F5" w:rsidRPr="004627F5" w:rsidRDefault="004627F5" w:rsidP="001378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Kalitate-kontrola esparru guztietan.</w:t>
            </w:r>
          </w:p>
        </w:tc>
      </w:tr>
      <w:tr w:rsidR="004627F5" w14:paraId="3C5EA19C" w14:textId="77777777" w:rsidTr="00137816">
        <w:trPr>
          <w:trHeight w:val="454"/>
        </w:trPr>
        <w:tc>
          <w:tcPr>
            <w:tcW w:w="4247" w:type="dxa"/>
            <w:vAlign w:val="center"/>
          </w:tcPr>
          <w:p w14:paraId="6BD75E10" w14:textId="77777777" w:rsidR="004627F5" w:rsidRDefault="004627F5" w:rsidP="00137816">
            <w:pPr>
              <w:spacing w:before="24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Proiektuaren tutorea (JMP)</w:t>
            </w:r>
          </w:p>
        </w:tc>
        <w:tc>
          <w:tcPr>
            <w:tcW w:w="4247" w:type="dxa"/>
            <w:vAlign w:val="center"/>
          </w:tcPr>
          <w:p w14:paraId="40407A08" w14:textId="77777777" w:rsidR="004627F5" w:rsidRPr="004627F5" w:rsidRDefault="004627F5" w:rsidP="00137816">
            <w:pPr>
              <w:pStyle w:val="Prrafodelista"/>
              <w:numPr>
                <w:ilvl w:val="0"/>
                <w:numId w:val="6"/>
              </w:numPr>
              <w:spacing w:before="24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4627F5">
              <w:rPr>
                <w:rFonts w:ascii="Arial" w:hAnsi="Arial" w:cs="Arial"/>
                <w:sz w:val="20"/>
                <w:szCs w:val="20"/>
              </w:rPr>
              <w:t>Dokumentazioaren kalitate-kontrola.</w:t>
            </w:r>
          </w:p>
          <w:p w14:paraId="0496663E" w14:textId="77777777" w:rsidR="004627F5" w:rsidRPr="004627F5" w:rsidRDefault="004627F5" w:rsidP="00137816">
            <w:pPr>
              <w:pStyle w:val="Prrafodelista"/>
              <w:numPr>
                <w:ilvl w:val="0"/>
                <w:numId w:val="6"/>
              </w:numPr>
              <w:spacing w:before="24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4627F5">
              <w:rPr>
                <w:rFonts w:ascii="Arial" w:hAnsi="Arial" w:cs="Arial"/>
                <w:sz w:val="20"/>
                <w:szCs w:val="20"/>
              </w:rPr>
              <w:t>Memoriaren kalitate-kontrola.</w:t>
            </w:r>
          </w:p>
          <w:p w14:paraId="18DD0A21" w14:textId="77777777" w:rsidR="004627F5" w:rsidRPr="004627F5" w:rsidRDefault="004627F5" w:rsidP="00137816">
            <w:pPr>
              <w:pStyle w:val="Prrafodelista"/>
              <w:numPr>
                <w:ilvl w:val="0"/>
                <w:numId w:val="6"/>
              </w:numPr>
              <w:spacing w:before="24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4627F5">
              <w:rPr>
                <w:rFonts w:ascii="Arial" w:hAnsi="Arial" w:cs="Arial"/>
                <w:sz w:val="20"/>
                <w:szCs w:val="20"/>
              </w:rPr>
              <w:t>Memoria aurkezteko webgunearen kalitate-kontrola.</w:t>
            </w:r>
          </w:p>
          <w:p w14:paraId="72DA50E7" w14:textId="77777777" w:rsidR="004627F5" w:rsidRPr="004627F5" w:rsidRDefault="004627F5" w:rsidP="00137816">
            <w:pPr>
              <w:pStyle w:val="Prrafodelista"/>
              <w:numPr>
                <w:ilvl w:val="0"/>
                <w:numId w:val="6"/>
              </w:numPr>
              <w:spacing w:before="240" w:after="16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4627F5">
              <w:rPr>
                <w:rFonts w:ascii="Arial" w:hAnsi="Arial" w:cs="Arial"/>
                <w:sz w:val="20"/>
                <w:szCs w:val="20"/>
              </w:rPr>
              <w:t>Aurkezpenaren kalitate-kontrola.</w:t>
            </w:r>
          </w:p>
        </w:tc>
      </w:tr>
    </w:tbl>
    <w:p w14:paraId="6B28EE1B" w14:textId="77777777" w:rsidR="004627F5" w:rsidRDefault="004627F5" w:rsidP="00F94C67">
      <w:pPr>
        <w:spacing w:after="240"/>
        <w:jc w:val="both"/>
        <w:rPr>
          <w:rFonts w:ascii="Arial" w:hAnsi="Arial" w:cs="Arial"/>
          <w:sz w:val="20"/>
          <w:szCs w:val="20"/>
        </w:rPr>
      </w:pPr>
    </w:p>
    <w:p w14:paraId="2088EB67" w14:textId="018734DB" w:rsidR="00F94C67" w:rsidRPr="00F94C67" w:rsidRDefault="00F94C67" w:rsidP="00F94C67">
      <w:pPr>
        <w:pStyle w:val="Ttulo2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Irismenaren</w:t>
      </w:r>
      <w:r w:rsidRPr="00F94C67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Kudeaketa</w:t>
      </w:r>
    </w:p>
    <w:p w14:paraId="71AFB535" w14:textId="1942FBD9" w:rsidR="00F94C67" w:rsidRDefault="0014416F" w:rsidP="0014416F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Proiektuaren irismena kudeatzeko </w:t>
      </w:r>
      <w:proofErr w:type="spellStart"/>
      <w:r>
        <w:rPr>
          <w:rFonts w:ascii="Arial" w:hAnsi="Arial" w:cs="Arial"/>
          <w:sz w:val="20"/>
          <w:szCs w:val="20"/>
        </w:rPr>
        <w:t>OpenUP</w:t>
      </w:r>
      <w:proofErr w:type="spellEnd"/>
      <w:r>
        <w:rPr>
          <w:rFonts w:ascii="Arial" w:hAnsi="Arial" w:cs="Arial"/>
          <w:sz w:val="20"/>
          <w:szCs w:val="20"/>
        </w:rPr>
        <w:t xml:space="preserve"> metodologia jarraituko da. B</w:t>
      </w:r>
      <w:r w:rsidR="00BA1F5D">
        <w:rPr>
          <w:rFonts w:ascii="Arial" w:hAnsi="Arial" w:cs="Arial"/>
          <w:sz w:val="20"/>
          <w:szCs w:val="20"/>
        </w:rPr>
        <w:t>atetik, betekizunen ingeniaritza eginez “</w:t>
      </w:r>
      <w:r w:rsidR="00BA1F5D" w:rsidRPr="00BA1F5D">
        <w:rPr>
          <w:rFonts w:ascii="Arial" w:hAnsi="Arial" w:cs="Arial"/>
          <w:b/>
          <w:bCs/>
          <w:sz w:val="20"/>
          <w:szCs w:val="20"/>
        </w:rPr>
        <w:t>Betebeharren Espezifikazioa</w:t>
      </w:r>
      <w:r w:rsidR="00BA1F5D">
        <w:rPr>
          <w:rFonts w:ascii="Arial" w:hAnsi="Arial" w:cs="Arial"/>
          <w:sz w:val="20"/>
          <w:szCs w:val="20"/>
        </w:rPr>
        <w:t>” dokumentua beteko da. Behin sistemaren betekizunak zehazturik, sistemaren arazoa ezagutzeko eta sistema kokatzeko “</w:t>
      </w:r>
      <w:r w:rsidR="00BA1F5D" w:rsidRPr="00BA1F5D">
        <w:rPr>
          <w:rFonts w:ascii="Arial" w:hAnsi="Arial" w:cs="Arial"/>
          <w:b/>
          <w:bCs/>
          <w:sz w:val="20"/>
          <w:szCs w:val="20"/>
        </w:rPr>
        <w:t>Bisioa</w:t>
      </w:r>
      <w:r w:rsidR="00BA1F5D">
        <w:rPr>
          <w:rFonts w:ascii="Arial" w:hAnsi="Arial" w:cs="Arial"/>
          <w:sz w:val="20"/>
          <w:szCs w:val="20"/>
        </w:rPr>
        <w:t>” dokumentua idatziko da. Hemendik aurrera, irismena finkatzea errazagoa izango da.</w:t>
      </w:r>
    </w:p>
    <w:p w14:paraId="2A4A5B16" w14:textId="100C9665" w:rsidR="00BA1F5D" w:rsidRDefault="00BA1F5D" w:rsidP="0014416F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Beste alde batetik, proiektuaren </w:t>
      </w:r>
      <w:proofErr w:type="spellStart"/>
      <w:r>
        <w:rPr>
          <w:rFonts w:ascii="Arial" w:hAnsi="Arial" w:cs="Arial"/>
          <w:sz w:val="20"/>
          <w:szCs w:val="20"/>
        </w:rPr>
        <w:t>entregagarriak</w:t>
      </w:r>
      <w:proofErr w:type="spellEnd"/>
      <w:r>
        <w:rPr>
          <w:rFonts w:ascii="Arial" w:hAnsi="Arial" w:cs="Arial"/>
          <w:sz w:val="20"/>
          <w:szCs w:val="20"/>
        </w:rPr>
        <w:t xml:space="preserve"> hasieran zehaztuko dira.</w:t>
      </w:r>
    </w:p>
    <w:p w14:paraId="7339C311" w14:textId="6C02D09A" w:rsidR="008B0362" w:rsidRDefault="008B0362" w:rsidP="008B0362">
      <w:pPr>
        <w:jc w:val="both"/>
        <w:rPr>
          <w:rFonts w:ascii="Arial" w:hAnsi="Arial" w:cs="Arial"/>
          <w:noProof/>
          <w:sz w:val="20"/>
          <w:szCs w:val="20"/>
        </w:rPr>
      </w:pPr>
    </w:p>
    <w:p w14:paraId="430997DC" w14:textId="6213ACC2" w:rsidR="004627F5" w:rsidRDefault="004627F5" w:rsidP="008B0362">
      <w:pPr>
        <w:jc w:val="both"/>
        <w:rPr>
          <w:rFonts w:ascii="Arial" w:hAnsi="Arial" w:cs="Arial"/>
          <w:noProof/>
          <w:sz w:val="20"/>
          <w:szCs w:val="20"/>
        </w:rPr>
      </w:pPr>
    </w:p>
    <w:p w14:paraId="27D78683" w14:textId="125028FB" w:rsidR="004627F5" w:rsidRDefault="004627F5" w:rsidP="008B0362">
      <w:pPr>
        <w:jc w:val="both"/>
        <w:rPr>
          <w:rFonts w:ascii="Arial" w:hAnsi="Arial" w:cs="Arial"/>
          <w:noProof/>
          <w:sz w:val="20"/>
          <w:szCs w:val="20"/>
        </w:rPr>
      </w:pPr>
    </w:p>
    <w:p w14:paraId="2840F369" w14:textId="77777777" w:rsidR="004627F5" w:rsidRPr="008B0362" w:rsidRDefault="004627F5" w:rsidP="008B0362">
      <w:pPr>
        <w:jc w:val="both"/>
        <w:rPr>
          <w:rFonts w:ascii="Arial" w:hAnsi="Arial" w:cs="Arial"/>
          <w:noProof/>
          <w:sz w:val="20"/>
          <w:szCs w:val="20"/>
        </w:rPr>
      </w:pPr>
    </w:p>
    <w:p w14:paraId="5873D0C9" w14:textId="185EE636" w:rsidR="00F94C67" w:rsidRPr="00F94C67" w:rsidRDefault="00F94C67" w:rsidP="00F94C67">
      <w:pPr>
        <w:pStyle w:val="Ttulo2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Komunikazioen</w:t>
      </w:r>
      <w:r w:rsidRPr="00F94C67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Kudeaketa</w:t>
      </w:r>
    </w:p>
    <w:p w14:paraId="4072687B" w14:textId="71B320FE" w:rsidR="004627F5" w:rsidRDefault="00126E3F" w:rsidP="004627F5">
      <w:pPr>
        <w:spacing w:before="2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Proiektuaren egilearen eta tutorearen arteko komunikazioa ezartzeko hurrengo bi esparru hauek hasieratik zehaztu behar dira:</w:t>
      </w:r>
    </w:p>
    <w:p w14:paraId="530DFDA0" w14:textId="3C1485B5" w:rsidR="004627F5" w:rsidRDefault="004627F5" w:rsidP="004627F5">
      <w:pPr>
        <w:pStyle w:val="Ttulo3"/>
        <w:spacing w:before="0" w:after="240"/>
        <w:jc w:val="both"/>
        <w:rPr>
          <w:rFonts w:ascii="Arial" w:hAnsi="Arial" w:cs="Arial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E3F">
        <w:rPr>
          <w:rFonts w:ascii="Arial" w:hAnsi="Arial" w:cs="Arial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Informazio-sistema</w:t>
      </w:r>
    </w:p>
    <w:p w14:paraId="7A5A3AB4" w14:textId="2BE66A4E" w:rsidR="00126E3F" w:rsidRPr="00176AC4" w:rsidRDefault="00176AC4" w:rsidP="00126E3F">
      <w:pPr>
        <w:rPr>
          <w:rFonts w:ascii="Arial" w:hAnsi="Arial" w:cs="Arial"/>
          <w:sz w:val="20"/>
          <w:szCs w:val="20"/>
        </w:rPr>
      </w:pPr>
      <w:r w:rsidRPr="00176AC4">
        <w:rPr>
          <w:rFonts w:ascii="Arial" w:hAnsi="Arial" w:cs="Arial"/>
          <w:sz w:val="20"/>
          <w:szCs w:val="20"/>
        </w:rPr>
        <w:t xml:space="preserve">Informatikan, informazio-sistemek erakunde bakoitzaren funtsezko prozesuetarako eta berezitasunetarako garrantzitsua den </w:t>
      </w:r>
      <w:r>
        <w:rPr>
          <w:rFonts w:ascii="Arial" w:hAnsi="Arial" w:cs="Arial"/>
          <w:sz w:val="20"/>
          <w:szCs w:val="20"/>
        </w:rPr>
        <w:t xml:space="preserve">informazioa </w:t>
      </w:r>
      <w:r w:rsidRPr="00176AC4">
        <w:rPr>
          <w:rFonts w:ascii="Arial" w:hAnsi="Arial" w:cs="Arial"/>
          <w:sz w:val="20"/>
          <w:szCs w:val="20"/>
        </w:rPr>
        <w:t>administratzen, biltzen, berreskuratzen, prozesatzen, biltegiratzen eta banatzen laguntzen dute.</w:t>
      </w:r>
    </w:p>
    <w:p w14:paraId="2E581257" w14:textId="47F9A96D" w:rsidR="00126E3F" w:rsidRPr="00126E3F" w:rsidRDefault="004627F5" w:rsidP="00126E3F">
      <w:pPr>
        <w:pStyle w:val="Ttulo3"/>
        <w:spacing w:after="240"/>
        <w:rPr>
          <w:rFonts w:ascii="Arial" w:hAnsi="Arial" w:cs="Arial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6E3F">
        <w:rPr>
          <w:rFonts w:ascii="Arial" w:hAnsi="Arial" w:cs="Arial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Komunikazio-kanalak</w:t>
      </w:r>
    </w:p>
    <w:p w14:paraId="03C45300" w14:textId="2FF03FD7" w:rsidR="00126E3F" w:rsidRPr="00126E3F" w:rsidRDefault="00126E3F" w:rsidP="00126E3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126E3F">
        <w:rPr>
          <w:rFonts w:ascii="Arial" w:eastAsia="Times New Roman" w:hAnsi="Arial" w:cs="Arial"/>
          <w:sz w:val="20"/>
          <w:szCs w:val="20"/>
          <w:lang w:eastAsia="es-ES"/>
        </w:rPr>
        <w:t xml:space="preserve">Komunikazio-kanalak mezua </w:t>
      </w:r>
      <w:proofErr w:type="spellStart"/>
      <w:r w:rsidRPr="00126E3F">
        <w:rPr>
          <w:rFonts w:ascii="Arial" w:eastAsia="Times New Roman" w:hAnsi="Arial" w:cs="Arial"/>
          <w:sz w:val="20"/>
          <w:szCs w:val="20"/>
          <w:lang w:eastAsia="es-ES"/>
        </w:rPr>
        <w:t>igorlearengandik</w:t>
      </w:r>
      <w:proofErr w:type="spellEnd"/>
      <w:r w:rsidRPr="00126E3F">
        <w:rPr>
          <w:rFonts w:ascii="Arial" w:eastAsia="Times New Roman" w:hAnsi="Arial" w:cs="Arial"/>
          <w:sz w:val="20"/>
          <w:szCs w:val="20"/>
          <w:lang w:eastAsia="es-ES"/>
        </w:rPr>
        <w:t xml:space="preserve"> hartzailearenganaino transmititzeko euskarria dira. Zirkularrak, </w:t>
      </w:r>
      <w:proofErr w:type="spellStart"/>
      <w:r w:rsidRPr="00126E3F">
        <w:rPr>
          <w:rFonts w:ascii="Arial" w:eastAsia="Times New Roman" w:hAnsi="Arial" w:cs="Arial"/>
          <w:sz w:val="20"/>
          <w:szCs w:val="20"/>
          <w:lang w:eastAsia="es-ES"/>
        </w:rPr>
        <w:t>internet</w:t>
      </w:r>
      <w:proofErr w:type="spellEnd"/>
      <w:r w:rsidRPr="00126E3F">
        <w:rPr>
          <w:rFonts w:ascii="Arial" w:eastAsia="Times New Roman" w:hAnsi="Arial" w:cs="Arial"/>
          <w:sz w:val="20"/>
          <w:szCs w:val="20"/>
          <w:lang w:eastAsia="es-ES"/>
        </w:rPr>
        <w:t xml:space="preserve">, telefonoa, </w:t>
      </w:r>
      <w:r w:rsidR="00176AC4">
        <w:rPr>
          <w:rFonts w:ascii="Arial" w:eastAsia="Times New Roman" w:hAnsi="Arial" w:cs="Arial"/>
          <w:sz w:val="20"/>
          <w:szCs w:val="20"/>
          <w:lang w:eastAsia="es-ES"/>
        </w:rPr>
        <w:t>posta elektronikoa</w:t>
      </w:r>
      <w:r w:rsidRPr="00126E3F">
        <w:rPr>
          <w:rFonts w:ascii="Arial" w:eastAsia="Times New Roman" w:hAnsi="Arial" w:cs="Arial"/>
          <w:sz w:val="20"/>
          <w:szCs w:val="20"/>
          <w:lang w:eastAsia="es-ES"/>
        </w:rPr>
        <w:t xml:space="preserve">, </w:t>
      </w:r>
      <w:proofErr w:type="spellStart"/>
      <w:r w:rsidRPr="00126E3F">
        <w:rPr>
          <w:rFonts w:ascii="Arial" w:eastAsia="Times New Roman" w:hAnsi="Arial" w:cs="Arial"/>
          <w:sz w:val="20"/>
          <w:szCs w:val="20"/>
          <w:lang w:eastAsia="es-ES"/>
        </w:rPr>
        <w:t>sms</w:t>
      </w:r>
      <w:proofErr w:type="spellEnd"/>
      <w:r w:rsidRPr="00126E3F">
        <w:rPr>
          <w:rFonts w:ascii="Arial" w:eastAsia="Times New Roman" w:hAnsi="Arial" w:cs="Arial"/>
          <w:sz w:val="20"/>
          <w:szCs w:val="20"/>
          <w:lang w:eastAsia="es-ES"/>
        </w:rPr>
        <w:t>-ak, irratia, prentsa, telebista... asko dira erabil ditzakegun komunikazio-bideak.</w:t>
      </w:r>
    </w:p>
    <w:p w14:paraId="6EBEA36B" w14:textId="77777777" w:rsidR="00126E3F" w:rsidRPr="00126E3F" w:rsidRDefault="00126E3F" w:rsidP="00126E3F"/>
    <w:p w14:paraId="4C7AD816" w14:textId="7CBE799F" w:rsidR="00F94C67" w:rsidRPr="00F94C67" w:rsidRDefault="00F94C67" w:rsidP="00F94C67">
      <w:pPr>
        <w:pStyle w:val="Ttulo2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Arriskuen</w:t>
      </w:r>
      <w:r w:rsidRPr="00F94C67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Kudeaketa</w:t>
      </w:r>
    </w:p>
    <w:p w14:paraId="5663C49E" w14:textId="7084D92D" w:rsidR="00F94C67" w:rsidRDefault="0014416F" w:rsidP="00F94C67">
      <w:pPr>
        <w:spacing w:before="24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Arriskuak kudeatzeko OpenUP metodologiako “</w:t>
      </w:r>
      <w:r w:rsidR="00BA1F5D" w:rsidRPr="004627F5">
        <w:rPr>
          <w:rFonts w:ascii="Arial" w:hAnsi="Arial" w:cs="Arial"/>
          <w:b/>
          <w:bCs/>
          <w:noProof/>
          <w:sz w:val="20"/>
          <w:szCs w:val="20"/>
        </w:rPr>
        <w:t>Arriskuen</w:t>
      </w:r>
      <w:r w:rsidRPr="004627F5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BA1F5D" w:rsidRPr="004627F5">
        <w:rPr>
          <w:rFonts w:ascii="Arial" w:hAnsi="Arial" w:cs="Arial"/>
          <w:b/>
          <w:bCs/>
          <w:noProof/>
          <w:sz w:val="20"/>
          <w:szCs w:val="20"/>
        </w:rPr>
        <w:t>Zerrenda</w:t>
      </w:r>
      <w:r>
        <w:rPr>
          <w:rFonts w:ascii="Arial" w:hAnsi="Arial" w:cs="Arial"/>
          <w:noProof/>
          <w:sz w:val="20"/>
          <w:szCs w:val="20"/>
        </w:rPr>
        <w:t>” dokumentua beteko da. Prozedura hurrengoa da:</w:t>
      </w:r>
    </w:p>
    <w:p w14:paraId="44424D1A" w14:textId="1FF317C4" w:rsidR="0014416F" w:rsidRDefault="0014416F" w:rsidP="0014416F">
      <w:pPr>
        <w:pStyle w:val="Prrafodelista"/>
        <w:numPr>
          <w:ilvl w:val="0"/>
          <w:numId w:val="4"/>
        </w:numPr>
        <w:spacing w:before="240"/>
        <w:ind w:left="714" w:hanging="357"/>
        <w:contextualSpacing w:val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Proiektuaren hasieran, proiektuarentzako orokorrean arriskutsuak izan daitezken elementuak identifikatu.</w:t>
      </w:r>
    </w:p>
    <w:p w14:paraId="21DFC0C5" w14:textId="366A7D4A" w:rsidR="0014416F" w:rsidRDefault="0014416F" w:rsidP="0014416F">
      <w:pPr>
        <w:pStyle w:val="Prrafodelista"/>
        <w:numPr>
          <w:ilvl w:val="0"/>
          <w:numId w:val="4"/>
        </w:numPr>
        <w:spacing w:before="240"/>
        <w:ind w:left="714" w:hanging="357"/>
        <w:contextualSpacing w:val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Arriskuen analisi kualitatibo eta kuantitatiboa egin, haien larritasuna aurreikusteko.</w:t>
      </w:r>
    </w:p>
    <w:p w14:paraId="61DC4547" w14:textId="5C74712B" w:rsidR="0014416F" w:rsidRDefault="0014416F" w:rsidP="0014416F">
      <w:pPr>
        <w:pStyle w:val="Prrafodelista"/>
        <w:numPr>
          <w:ilvl w:val="0"/>
          <w:numId w:val="4"/>
        </w:numPr>
        <w:spacing w:before="240"/>
        <w:ind w:left="714" w:hanging="357"/>
        <w:contextualSpacing w:val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Arriskuak arintzeko estrategiak bilatu.</w:t>
      </w:r>
    </w:p>
    <w:p w14:paraId="7A2660EC" w14:textId="2369DE01" w:rsidR="0014416F" w:rsidRPr="0014416F" w:rsidRDefault="0014416F" w:rsidP="0014416F">
      <w:pPr>
        <w:pStyle w:val="Prrafodelista"/>
        <w:numPr>
          <w:ilvl w:val="0"/>
          <w:numId w:val="4"/>
        </w:numPr>
        <w:spacing w:before="240"/>
        <w:ind w:left="714" w:hanging="357"/>
        <w:contextualSpacing w:val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Ondoren, iterazio bakoitzean zehar agertu daitezken arriskuak gehitu dokumentura eta 2. eta 3. urratsak errepikatu.</w:t>
      </w:r>
    </w:p>
    <w:sectPr w:rsidR="0014416F" w:rsidRPr="0014416F" w:rsidSect="000F0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03707" w14:textId="77777777" w:rsidR="00657733" w:rsidRDefault="00657733" w:rsidP="000F0C95">
      <w:pPr>
        <w:spacing w:after="0" w:line="240" w:lineRule="auto"/>
      </w:pPr>
      <w:r>
        <w:separator/>
      </w:r>
    </w:p>
  </w:endnote>
  <w:endnote w:type="continuationSeparator" w:id="0">
    <w:p w14:paraId="4DA1E741" w14:textId="77777777" w:rsidR="00657733" w:rsidRDefault="00657733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C52A" w14:textId="77777777" w:rsidR="00154517" w:rsidRDefault="00154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EndPr/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D7F0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F4399" w14:textId="77777777" w:rsidR="00657733" w:rsidRDefault="00657733" w:rsidP="000F0C95">
      <w:pPr>
        <w:spacing w:after="0" w:line="240" w:lineRule="auto"/>
      </w:pPr>
      <w:r>
        <w:separator/>
      </w:r>
    </w:p>
  </w:footnote>
  <w:footnote w:type="continuationSeparator" w:id="0">
    <w:p w14:paraId="6BF6E4D6" w14:textId="77777777" w:rsidR="00657733" w:rsidRDefault="00657733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280" w14:textId="77777777" w:rsidR="00154517" w:rsidRDefault="001545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D782" w14:textId="77777777" w:rsidR="00154517" w:rsidRDefault="00154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35FA"/>
    <w:multiLevelType w:val="hybridMultilevel"/>
    <w:tmpl w:val="4A040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567A"/>
    <w:multiLevelType w:val="hybridMultilevel"/>
    <w:tmpl w:val="8E54B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E6"/>
    <w:multiLevelType w:val="hybridMultilevel"/>
    <w:tmpl w:val="62B67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C8D"/>
    <w:multiLevelType w:val="hybridMultilevel"/>
    <w:tmpl w:val="3434FD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1D13"/>
    <w:multiLevelType w:val="hybridMultilevel"/>
    <w:tmpl w:val="6ED8F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22263"/>
    <w:rsid w:val="00126E3F"/>
    <w:rsid w:val="00126ECB"/>
    <w:rsid w:val="0014416F"/>
    <w:rsid w:val="00154517"/>
    <w:rsid w:val="00165A4B"/>
    <w:rsid w:val="00176AC4"/>
    <w:rsid w:val="00213923"/>
    <w:rsid w:val="00282D0B"/>
    <w:rsid w:val="002F7753"/>
    <w:rsid w:val="00301FF2"/>
    <w:rsid w:val="0044668C"/>
    <w:rsid w:val="004627F5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57733"/>
    <w:rsid w:val="00670232"/>
    <w:rsid w:val="006A3A9D"/>
    <w:rsid w:val="006B66E6"/>
    <w:rsid w:val="006D2B60"/>
    <w:rsid w:val="006F3866"/>
    <w:rsid w:val="00784A81"/>
    <w:rsid w:val="00804FC6"/>
    <w:rsid w:val="00855287"/>
    <w:rsid w:val="00871929"/>
    <w:rsid w:val="00886A2D"/>
    <w:rsid w:val="008A1DBA"/>
    <w:rsid w:val="008B0362"/>
    <w:rsid w:val="00906FFA"/>
    <w:rsid w:val="00930AFA"/>
    <w:rsid w:val="00952A24"/>
    <w:rsid w:val="009639EA"/>
    <w:rsid w:val="009F0A2F"/>
    <w:rsid w:val="00A05F25"/>
    <w:rsid w:val="00A3739D"/>
    <w:rsid w:val="00BA1F5D"/>
    <w:rsid w:val="00BA39B2"/>
    <w:rsid w:val="00BF7766"/>
    <w:rsid w:val="00C30F6A"/>
    <w:rsid w:val="00C61275"/>
    <w:rsid w:val="00C72AD9"/>
    <w:rsid w:val="00C74667"/>
    <w:rsid w:val="00CF385A"/>
    <w:rsid w:val="00D20278"/>
    <w:rsid w:val="00D812E7"/>
    <w:rsid w:val="00DA303E"/>
    <w:rsid w:val="00DC55A0"/>
    <w:rsid w:val="00DF45D1"/>
    <w:rsid w:val="00E04CA1"/>
    <w:rsid w:val="00E2130B"/>
    <w:rsid w:val="00E22EB4"/>
    <w:rsid w:val="00E96018"/>
    <w:rsid w:val="00EA651E"/>
    <w:rsid w:val="00EB6F07"/>
    <w:rsid w:val="00EC3E8E"/>
    <w:rsid w:val="00EC524B"/>
    <w:rsid w:val="00F12F18"/>
    <w:rsid w:val="00F677B6"/>
    <w:rsid w:val="00F92DEE"/>
    <w:rsid w:val="00F94C67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627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u-ES"/>
    </w:rPr>
  </w:style>
  <w:style w:type="paragraph" w:styleId="Textoindependiente">
    <w:name w:val="Body Text"/>
    <w:basedOn w:val="Normal"/>
    <w:link w:val="TextoindependienteCar"/>
    <w:rsid w:val="004627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627F5"/>
    <w:rPr>
      <w:rFonts w:ascii="Times New Roman" w:eastAsia="Times New Roman" w:hAnsi="Times New Roman" w:cs="Times New Roman"/>
      <w:sz w:val="20"/>
      <w:szCs w:val="20"/>
      <w:lang w:val="eu-ES"/>
    </w:rPr>
  </w:style>
  <w:style w:type="character" w:customStyle="1" w:styleId="form-control">
    <w:name w:val="form-control"/>
    <w:basedOn w:val="Fuentedeprrafopredeter"/>
    <w:rsid w:val="0046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45</cp:revision>
  <cp:lastPrinted>2020-06-19T09:02:00Z</cp:lastPrinted>
  <dcterms:created xsi:type="dcterms:W3CDTF">2020-06-19T08:24:00Z</dcterms:created>
  <dcterms:modified xsi:type="dcterms:W3CDTF">2020-09-02T11:03:00Z</dcterms:modified>
</cp:coreProperties>
</file>