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66"/>
          <w:sz w:val="40"/>
          <w:szCs w:val="40"/>
        </w:rPr>
        <w:t xml:space="preserve">CO-FOUNDER &amp; CGO AGREEMENT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Project: Tourit.ca</w:t>
      </w:r>
    </w:p>
    <w:p>
      <w:pPr>
        <w:spacing w:after="3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Effective Date: ___________, 2026</w:t>
      </w:r>
    </w:p>
    <w:p>
      <w:pPr>
        <w:spacing w:after="240"/>
      </w:pPr>
      <w:r>
        <w:t xml:space="preserve">This Agreement is entered into between </w:t>
      </w:r>
      <w:r>
        <w:rPr>
          <w:b/>
          <w:bCs/>
        </w:rPr>
        <w:t xml:space="preserve">Julie Li</w:t>
      </w:r>
      <w:r>
        <w:t xml:space="preserve"> (“Founder”) and </w:t>
      </w:r>
      <w:r>
        <w:rPr>
          <w:b/>
          <w:bCs/>
        </w:rPr>
        <w:t xml:space="preserve">____________________ (“Co-Founder/CGO”)</w:t>
      </w:r>
      <w:r>
        <w:t xml:space="preserve"> regarding the development and growth of Tourit.ca.</w:t>
      </w:r>
    </w:p>
    <w:p>
      <w:pPr>
        <w:pStyle w:val="Heading1"/>
      </w:pPr>
      <w:r>
        <w:t xml:space="preserve">1.  Role &amp; Responsibilities</w:t>
      </w:r>
    </w:p>
    <w:p>
      <w:pPr>
        <w:spacing w:after="100"/>
      </w:pPr>
      <w:r>
        <w:t xml:space="preserve">The Co-Founder shall serve as the CGO and be responsible for driving organic growth and scaling Tourit’s top-of-funnel acquisition. Specific responsibilities include:</w:t>
      </w:r>
    </w:p>
    <w:p>
      <w:pPr>
        <w:pStyle w:val="ListParagraph"/>
        <w:numPr>
          <w:ilvl w:val="0"/>
          <w:numId w:val="2"/>
        </w:numPr>
      </w:pPr>
      <w:r>
        <w:t xml:space="preserve">Cold Email Outreach: design, execute, and continuously optimize cold email campaigns targeting GTA real estate agents, brokerages, and prospective buyer/seller leads to drive platform adoption.</w:t>
      </w:r>
    </w:p>
    <w:p>
      <w:pPr>
        <w:pStyle w:val="ListParagraph"/>
        <w:numPr>
          <w:ilvl w:val="0"/>
          <w:numId w:val="2"/>
        </w:numPr>
      </w:pPr>
      <w:r>
        <w:t xml:space="preserve">Influencer &amp; Affiliate Management: identify, recruit, onboard, and manage relationships with real estate influencers, content creators, and affiliate partners; structure performance-based compensation and track ROI.</w:t>
      </w:r>
    </w:p>
    <w:p>
      <w:pPr>
        <w:pStyle w:val="ListParagraph"/>
        <w:numPr>
          <w:ilvl w:val="0"/>
          <w:numId w:val="2"/>
        </w:numPr>
      </w:pPr>
      <w:r>
        <w:t xml:space="preserve">Social Media Infrastructure: build and maintain Tourit’s social media presence across all relevant platforms (Instagram, TikTok, RedNote, Facebook, LinkedIn, YouTube, etc.); own content calendar, posting cadence, community management, and engagement.</w:t>
      </w:r>
    </w:p>
    <w:p>
      <w:pPr>
        <w:pStyle w:val="ListParagraph"/>
        <w:numPr>
          <w:ilvl w:val="0"/>
          <w:numId w:val="2"/>
        </w:numPr>
      </w:pPr>
      <w:r>
        <w:t xml:space="preserve">GEO &amp; SEO: own search-engine and generative-engine optimization for tourit.ca — including keyword strategy, on-page/technical SEO, content production, backlink building, and ensuring Tourit is discoverable and surfaced by AI assistants and search engines.</w:t>
      </w:r>
    </w:p>
    <w:p>
      <w:pPr>
        <w:pStyle w:val="ListParagraph"/>
        <w:numPr>
          <w:ilvl w:val="0"/>
          <w:numId w:val="2"/>
        </w:numPr>
      </w:pPr>
      <w:r>
        <w:t xml:space="preserve">Any &amp; All Organic Growth Channels: own user acquisition, market distribution (GTA real estate), and revenue growth toward the Year 1 Revenue Target of $150,000, including any additional organic channels (referrals, partnerships, community, PR, events) required to hit the milestones in Section 2.</w:t>
      </w:r>
    </w:p>
    <w:p>
      <w:pPr>
        <w:pStyle w:val="ListParagraph"/>
        <w:numPr>
          <w:ilvl w:val="0"/>
          <w:numId w:val="2"/>
        </w:numPr>
      </w:pPr>
      <w:r>
        <w:t xml:space="preserve">Collaborate on strategic go-to-market decisions while acknowledging the Founder’s final decision-making authority during the vesting period.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 Milestone-Based Equity Vesting (Total 10%)</w:t>
      </w:r>
    </w:p>
    <w:p>
      <w:pPr>
        <w:spacing w:after="120"/>
      </w:pPr>
      <w:r>
        <w:t xml:space="preserve">Equity shall vest based on performance milestones, subject to a 12-month “Cliff” and “Bad Leaver” provisions: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2E4066" w:sz="1"/>
              <w:left w:val="single" w:color="2E4066" w:sz="1"/>
              <w:bottom w:val="single" w:color="2E4066" w:sz="1"/>
              <w:right w:val="single" w:color="2E4066" w:sz="1"/>
            </w:tcBorders>
            <w:shd w:fill="2E40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2E4066" w:sz="1"/>
              <w:left w:val="single" w:color="2E4066" w:sz="1"/>
              <w:bottom w:val="single" w:color="2E4066" w:sz="1"/>
              <w:right w:val="single" w:color="2E4066" w:sz="1"/>
            </w:tcBorders>
            <w:shd w:fill="2E40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Equity %</w:t>
            </w:r>
          </w:p>
        </w:tc>
        <w:tc>
          <w:tcPr>
            <w:tcW w:type="dxa" w:w="5960"/>
            <w:tcBorders>
              <w:top w:val="single" w:color="2E4066" w:sz="1"/>
              <w:left w:val="single" w:color="2E4066" w:sz="1"/>
              <w:bottom w:val="single" w:color="2E4066" w:sz="1"/>
              <w:right w:val="single" w:color="2E4066" w:sz="1"/>
            </w:tcBorders>
            <w:shd w:fill="2E40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Onboarding of first 50 active licensed Agent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Cumulative Platform Revenue reaches $75,000.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Cumulative Platform Revenue reaches $150,000.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 Profit Sharing &amp; Founder Salary Deferral</w:t>
      </w:r>
    </w:p>
    <w:p>
      <w:pPr>
        <w:spacing w:after="100"/>
      </w:pPr>
      <w:r>
        <w:t xml:space="preserve">To incentivize the Co-Founder in the absence of initial salary:</w:t>
      </w:r>
    </w:p>
    <w:p>
      <w:pPr>
        <w:pStyle w:val="ListParagraph"/>
        <w:numPr>
          <w:ilvl w:val="0"/>
          <w:numId w:val="2"/>
        </w:numPr>
      </w:pPr>
      <w:r>
        <w:t xml:space="preserve">Founder Deferral: Julie Li agrees to waive her 80% share of dividends/profits for Year 1.</w:t>
      </w:r>
    </w:p>
    <w:p>
      <w:pPr>
        <w:pStyle w:val="ListParagraph"/>
        <w:numPr>
          <w:ilvl w:val="0"/>
          <w:numId w:val="2"/>
        </w:numPr>
      </w:pPr>
      <w:r>
        <w:t xml:space="preserve">Priority Bonus: 100% of distributable net profit shall be shared among the CTO and CGO (pro-rata) until the $150,000 target is met.</w:t>
      </w:r>
    </w:p>
    <w:p>
      <w:pPr>
        <w:pStyle w:val="ListParagraph"/>
        <w:numPr>
          <w:ilvl w:val="0"/>
          <w:numId w:val="2"/>
        </w:numPr>
      </w:pPr>
      <w:r>
        <w:t xml:space="preserve">Retention Holdback: 50% of bonuses are paid upon milestone; 50% are held for 6 months to ensure continued commitment.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 IP Assignment &amp; Confidentiality</w:t>
      </w:r>
    </w:p>
    <w:p>
      <w:pPr>
        <w:spacing w:after="240"/>
      </w:pPr>
      <w:r>
        <w:t xml:space="preserve">All Intellectual Property created during the term of this agreement — including but not limited to outreach lists, email templates, marketing copy, brand assets, social media accounts and content, influencer/affiliate contracts, SEO/GEO content, and growth playbooks — belongs 100% to Tourit.ca. The Co-Founder shall maintain strict confidentiality regarding MLS data, lead lists, agent contact information, and all proprietary growth and marketing strategies.</w:t>
      </w:r>
    </w:p>
    <w:p>
      <w:pPr>
        <w:pStyle w:val="Heading1"/>
      </w:pPr>
      <w:r>
        <w:t xml:space="preserve">5.  Founder Equity Buy-Back Right</w:t>
      </w:r>
    </w:p>
    <w:p>
      <w:pPr>
        <w:spacing w:after="120"/>
      </w:pPr>
      <w:r>
        <w:t xml:space="preserve">If the Year 1 Revenue Target of </w:t>
      </w:r>
      <w:r>
        <w:rPr>
          <w:b/>
          <w:bCs/>
        </w:rPr>
        <w:t xml:space="preserve">$150,000</w:t>
      </w:r>
      <w:r>
        <w:t xml:space="preserve"> is not achieved by the end of Year 1, Julie Li (the Founder) retains the right to buy back any vested equity held by the Co-Founder/CGO at a price calculated as follows:</w:t>
      </w:r>
    </w:p>
    <w:p>
      <w:pPr>
        <w:pBdr>
          <w:top w:val="single" w:color="2E4066" w:sz="4"/>
          <w:bottom w:val="single" w:color="2E4066" w:sz="4"/>
          <w:left w:val="single" w:color="2E4066" w:sz="4"/>
          <w:right w:val="single" w:color="2E4066" w:sz="4"/>
        </w:pBdr>
        <w:shd w:fill="EEF2F8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2E4066"/>
          <w:sz w:val="26"/>
          <w:szCs w:val="26"/>
        </w:rPr>
        <w:t xml:space="preserve">Buy-Back Price  =  Actual Year 1 Revenue  ×  Co-Founder’s Equity %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If actual Year 1 revenue is $80,000 and the Co-Founder holds 6% vested equity, the buy-back price shall be $80,000 × 6% = $4,800.</w:t>
      </w:r>
    </w:p>
    <w:p>
      <w:pPr>
        <w:pStyle w:val="ListParagraph"/>
        <w:numPr>
          <w:ilvl w:val="0"/>
          <w:numId w:val="2"/>
        </w:numPr>
      </w:pPr>
      <w:r>
        <w:t xml:space="preserve">The Founder must exercise this right within 30 days following the end of Year 1.</w:t>
      </w:r>
    </w:p>
    <w:p>
      <w:pPr>
        <w:pStyle w:val="ListParagraph"/>
        <w:numPr>
          <w:ilvl w:val="0"/>
          <w:numId w:val="2"/>
        </w:numPr>
      </w:pPr>
      <w:r>
        <w:t xml:space="preserve">The buy-back price shall be paid within 60 days of the Founder’s written notice of exercise.</w:t>
      </w:r>
    </w:p>
    <w:p>
      <w:pPr>
        <w:pStyle w:val="ListParagraph"/>
        <w:numPr>
          <w:ilvl w:val="0"/>
          <w:numId w:val="2"/>
        </w:numPr>
      </w:pPr>
      <w:r>
        <w:t xml:space="preserve">Upon completion of buy-back, all equity subject to the buy-back reverts to the Founder with no further obligation to the Co-Founder in respect of such equity.</w:t>
      </w:r>
    </w:p>
    <w:p>
      <w:pPr>
        <w:pStyle w:val="ListParagraph"/>
        <w:numPr>
          <w:ilvl w:val="0"/>
          <w:numId w:val="2"/>
        </w:numPr>
      </w:pPr>
      <w:r>
        <w:t xml:space="preserve">This right does not apply to equity milestones not yet vested at the end of Year 1.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 Signatures</w:t>
      </w:r>
    </w:p>
    <w:p>
      <w:pPr>
        <w:spacing w:after="280"/>
      </w:pPr>
      <w:r>
        <w:t xml:space="preserve">By signing below, both parties agree to the terms of this Agreement.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Co-Founder / CGO</w:t>
            </w:r>
          </w:p>
          <w:p>
            <w:pPr>
              <w:spacing w:after="600"/>
            </w:pPr>
            <w:r>
              <w:t xml:space="preserve"/>
            </w:r>
          </w:p>
          <w:p>
            <w:pPr>
              <w:pBdr>
                <w:bottom w:val="single" w:color="2E4066" w:sz="6"/>
              </w:pBdr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Signature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pBdr>
                <w:bottom w:val="single" w:color="2E4066" w:sz="6"/>
              </w:pBdr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Name (Print)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pBdr>
                <w:bottom w:val="single" w:color="2E4066" w:sz="6"/>
              </w:pBdr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Date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Founder</w:t>
            </w:r>
          </w:p>
          <w:p>
            <w:pPr>
              <w:spacing w:after="600"/>
            </w:pPr>
            <w:r>
              <w:t xml:space="preserve"/>
            </w:r>
          </w:p>
          <w:p>
            <w:pPr>
              <w:pBdr>
                <w:bottom w:val="single" w:color="2E4066" w:sz="6"/>
              </w:pBdr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Signature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pBdr>
                <w:bottom w:val="single" w:color="2E4066" w:sz="6"/>
              </w:pBd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Julie Li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Name (Print)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pBdr>
                <w:bottom w:val="single" w:color="2E4066" w:sz="6"/>
              </w:pBdr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66" w:sz="6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66" w:sz="6" w:space="1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tourit.ca  |  Co-Founder &amp; CGO Agreement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40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2026-05-08T17:40:59.749Z</dcterms:created>
  <dcterms:modified xsi:type="dcterms:W3CDTF">2026-05-08T17:40:59.749Z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