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line="360" w:lineRule="auto"/>
        <w:jc w:val="both"/>
        <w:rPr>
          <w:b/>
          <w:bCs/>
          <w:sz w:val="40"/>
          <w:szCs w:val="40"/>
        </w:rPr>
      </w:pPr>
      <w:bookmarkStart w:id="0" w:name="_GoBack"/>
      <w:bookmarkEnd w:id="0"/>
    </w:p>
    <w:p w14:paraId="00000003">
      <w:pPr>
        <w:spacing w:line="360" w:lineRule="auto"/>
        <w:jc w:val="center"/>
        <w:rPr>
          <w:b/>
          <w:bCs/>
          <w:sz w:val="40"/>
          <w:szCs w:val="40"/>
        </w:rPr>
      </w:pPr>
    </w:p>
    <w:p w14:paraId="00000004">
      <w:pPr>
        <w:spacing w:line="360" w:lineRule="auto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  <w:rtl w:val="0"/>
        </w:rPr>
        <w:t>Medical Grand Challenge 2026:</w:t>
      </w:r>
    </w:p>
    <w:p w14:paraId="00000005">
      <w:pPr>
        <w:spacing w:line="360" w:lineRule="auto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  <w:rtl w:val="0"/>
        </w:rPr>
        <w:t>Healthier by Design: Building Tomorrow’s Solutions</w:t>
      </w:r>
    </w:p>
    <w:p w14:paraId="00000006">
      <w:pPr>
        <w:spacing w:line="360" w:lineRule="auto"/>
        <w:jc w:val="left"/>
        <w:rPr>
          <w:b/>
          <w:bCs/>
          <w:sz w:val="38"/>
          <w:szCs w:val="38"/>
        </w:rPr>
      </w:pPr>
    </w:p>
    <w:p w14:paraId="00000007">
      <w:pPr>
        <w:spacing w:line="360" w:lineRule="auto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  <w:rtl w:val="0"/>
        </w:rPr>
        <w:t>Mid Term Review: Written Pitch</w:t>
      </w:r>
    </w:p>
    <w:p w14:paraId="00000008">
      <w:pPr>
        <w:spacing w:line="360" w:lineRule="auto"/>
        <w:jc w:val="left"/>
        <w:rPr>
          <w:b/>
          <w:bCs/>
          <w:sz w:val="40"/>
          <w:szCs w:val="40"/>
        </w:rPr>
      </w:pPr>
    </w:p>
    <w:p w14:paraId="5DC2D364">
      <w:pPr>
        <w:spacing w:line="360" w:lineRule="auto"/>
        <w:jc w:val="center"/>
        <w:rPr>
          <w:rFonts w:hint="eastAsia"/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Project Code: </w:t>
      </w:r>
      <w:r>
        <w:rPr>
          <w:rFonts w:hint="eastAsia"/>
          <w:sz w:val="24"/>
          <w:szCs w:val="24"/>
          <w:rtl w:val="0"/>
        </w:rPr>
        <w:t>MGC_2026_1395</w:t>
      </w:r>
    </w:p>
    <w:p w14:paraId="0000000A">
      <w:pPr>
        <w:spacing w:line="360" w:lineRule="auto"/>
        <w:jc w:val="center"/>
        <w:rPr>
          <w:color w:val="990000"/>
          <w:sz w:val="24"/>
          <w:szCs w:val="24"/>
        </w:rPr>
      </w:pPr>
      <w:r>
        <w:rPr>
          <w:sz w:val="24"/>
          <w:szCs w:val="24"/>
          <w:rtl w:val="0"/>
        </w:rPr>
        <w:t xml:space="preserve">Team Name:  </w:t>
      </w:r>
      <w:r>
        <w:rPr>
          <w:rFonts w:hint="eastAsia"/>
          <w:sz w:val="24"/>
          <w:szCs w:val="24"/>
          <w:rtl w:val="0"/>
        </w:rPr>
        <w:t>SpectraLink</w:t>
      </w:r>
    </w:p>
    <w:p w14:paraId="0000000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Title: </w:t>
      </w:r>
      <w:r>
        <w:rPr>
          <w:rFonts w:hint="eastAsia"/>
          <w:sz w:val="24"/>
          <w:szCs w:val="24"/>
          <w:rtl w:val="0"/>
        </w:rPr>
        <w:t>SpectraLink: A Neuro-Symbolic AI Support System for Caregivers of Children with Autism Spectrum Disorder</w:t>
      </w:r>
    </w:p>
    <w:p w14:paraId="0000000D">
      <w:pPr>
        <w:spacing w:line="360" w:lineRule="auto"/>
        <w:jc w:val="left"/>
        <w:rPr>
          <w:sz w:val="24"/>
          <w:szCs w:val="24"/>
        </w:rPr>
      </w:pPr>
    </w:p>
    <w:p w14:paraId="0000000E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Team Members:</w:t>
      </w:r>
    </w:p>
    <w:tbl>
      <w:tblPr>
        <w:tblStyle w:val="17"/>
        <w:tblW w:w="936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5"/>
        <w:gridCol w:w="1235"/>
        <w:gridCol w:w="7060"/>
      </w:tblGrid>
      <w:tr w14:paraId="2C462F62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No.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Full Name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School</w:t>
            </w:r>
          </w:p>
        </w:tc>
      </w:tr>
      <w:tr w14:paraId="147140EE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1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AA27D1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贺紫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辰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D40917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Peking University School of Clinical Medicine</w:t>
            </w:r>
          </w:p>
        </w:tc>
      </w:tr>
      <w:tr w14:paraId="76B7E4F7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许雅静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B7394C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Peking University School of Nursing</w:t>
            </w:r>
          </w:p>
        </w:tc>
      </w:tr>
      <w:tr w14:paraId="5CC0B122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朱丽烨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9496C0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Yuanpei College, Peking University - Intelligent Science and Technology</w:t>
            </w:r>
          </w:p>
        </w:tc>
      </w:tr>
      <w:tr w14:paraId="30F05452">
        <w:trPr>
          <w:trHeight w:val="597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4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代惠紫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3FE67B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Department of Visual Communication Design, Special Education College, Beijing Union University</w:t>
            </w:r>
          </w:p>
        </w:tc>
      </w:tr>
      <w:tr w14:paraId="7C006931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陈柏彤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1622C3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Peking University School of Nursing</w:t>
            </w:r>
          </w:p>
        </w:tc>
      </w:tr>
      <w:tr w14:paraId="45579906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6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郑辰颖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E605CF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Peking University School of Nursing</w:t>
            </w:r>
          </w:p>
        </w:tc>
      </w:tr>
      <w:tr w14:paraId="039BBE3D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7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刘卓凡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021BF9">
            <w:pPr>
              <w:spacing w:after="0"/>
            </w:pPr>
            <w:r>
              <w:rPr>
                <w:rFonts w:ascii="Times New Roman" w:hAnsi="Times New Roman" w:cs="Times New Roman"/>
                <w:lang w:val="en-SG" w:eastAsia="zh-CN"/>
              </w:rPr>
              <w:t>Peking University School of Nursing</w:t>
            </w:r>
          </w:p>
        </w:tc>
      </w:tr>
      <w:tr w14:paraId="1526B496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00EEB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sz w:val="18"/>
                <w:szCs w:val="18"/>
                <w:rtl w:val="0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rtl w:val="0"/>
                <w:lang w:val="en-US" w:eastAsia="zh-CN"/>
              </w:rPr>
              <w:t>8</w:t>
            </w:r>
          </w:p>
        </w:tc>
        <w:tc>
          <w:tcPr>
            <w:tcW w:w="1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E7C34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任孜菡</w:t>
            </w:r>
          </w:p>
        </w:tc>
        <w:tc>
          <w:tcPr>
            <w:tcW w:w="7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10F4F5">
            <w:pPr>
              <w:spacing w:after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</w:t>
            </w:r>
            <w:r>
              <w:rPr>
                <w:rFonts w:hint="eastAsia" w:ascii="Times New Roman" w:hAnsi="Times New Roman" w:cs="Times New Roman"/>
                <w:lang w:val="en-SG" w:eastAsia="zh-CN"/>
              </w:rPr>
              <w:t xml:space="preserve">uanghua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</w:t>
            </w:r>
            <w:r>
              <w:rPr>
                <w:rFonts w:hint="eastAsia" w:ascii="Times New Roman" w:hAnsi="Times New Roman" w:cs="Times New Roman"/>
                <w:lang w:val="en-SG" w:eastAsia="zh-CN"/>
              </w:rPr>
              <w:t xml:space="preserve">chool of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M</w:t>
            </w:r>
            <w:r>
              <w:rPr>
                <w:rFonts w:hint="eastAsia" w:ascii="Times New Roman" w:hAnsi="Times New Roman" w:cs="Times New Roman"/>
                <w:lang w:val="en-SG" w:eastAsia="zh-CN"/>
              </w:rPr>
              <w:t>anagement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, Peking University</w:t>
            </w:r>
          </w:p>
        </w:tc>
      </w:tr>
    </w:tbl>
    <w:p w14:paraId="7FE4C93E">
      <w:pPr>
        <w:spacing w:line="360" w:lineRule="auto"/>
        <w:ind w:left="0" w:firstLine="0"/>
        <w:jc w:val="left"/>
        <w:rPr>
          <w:color w:val="990000"/>
          <w:sz w:val="17"/>
          <w:szCs w:val="17"/>
          <w:rtl w:val="0"/>
        </w:rPr>
      </w:pPr>
      <w:r>
        <w:rPr>
          <w:color w:val="990000"/>
          <w:sz w:val="17"/>
          <w:szCs w:val="17"/>
          <w:rtl w:val="0"/>
        </w:rPr>
        <w:t xml:space="preserve">* Please note: This member list submitted would be the final lineup for MGC 2026. No further changes would be allowed. </w:t>
      </w:r>
    </w:p>
    <w:p w14:paraId="0FC23CD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A. Description of Problem</w:t>
      </w:r>
    </w:p>
    <w:p w14:paraId="38D15D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Caregivers of children with Autism Spectrum Disorder (ASD) face persistent, unmet needs for accessible, personalized, and evidence-based daily care support.ASD is a lifelong neurodevelopmental condition with high clinical heterogeneity, requiring individualized behavioral intervention, early sign monitoring, and long-term care management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 Professional rehabilitation services are limited by shortages of trained personnel, high costs, and restricted geographic coverage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 Caregivers often struggle with fragmented, non-evidence-based information from general apps or guidebooks, leading to ineffective care practices, emotional burnout, anxiety, and depression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</w:t>
      </w:r>
    </w:p>
    <w:p w14:paraId="6D2D55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Meanwhile, standard AI tools lack clinical accuracy and interpretability, failing to provide reliable, context-aware guidance for home-based ASD care.</w:t>
      </w:r>
    </w:p>
    <w:p w14:paraId="4A3CE50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B. Prevalence and Importance of Problem</w:t>
      </w:r>
    </w:p>
    <w:p w14:paraId="2E6F41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Globally, over 61.8 million people lived with ASD in 2021, with rising prevalence in children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4]. In China, the prevalence reaches 1.8% among children aged 0–6 years and approximately 0.7% among those aged 6–12 years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 This growing population creates massive demand for scalable care support.</w:t>
      </w:r>
    </w:p>
    <w:p w14:paraId="253784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The problem is critically important for three reasons:</w:t>
      </w:r>
    </w:p>
    <w:p w14:paraId="622B04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For children with ASD, insufficient personalized care during early developmental stages severely limits long-term functional improvement and quality of life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6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417E96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For caregivers, the financial burden and chronic psychological stress damage mental health and caregiving capacity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7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77511C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For healthcare systems, the shortage of professional resources and uneven service distribution widen health inequity, especially in low-resource and remote regions[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8</w:t>
      </w:r>
      <w:r>
        <w:rPr>
          <w:rFonts w:hint="default" w:ascii="Arial" w:hAnsi="Arial" w:cs="Arial"/>
          <w:color w:val="000000"/>
          <w:sz w:val="24"/>
          <w:szCs w:val="24"/>
        </w:rPr>
        <w:t>]. Addressing this gap directly promotes family well-being and builds a more inclusive healthcare system.</w:t>
      </w:r>
    </w:p>
    <w:p w14:paraId="22C7E7C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C. Limitations of Current Existing Solutions</w:t>
      </w:r>
    </w:p>
    <w:p w14:paraId="1F0A98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Current ASD care solutions cannot fully meet healthcare needs due to structural and functional flaws:</w:t>
      </w:r>
    </w:p>
    <w:p w14:paraId="7FF695A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In-person professional interventions (e.g., applied behavior analysis, caregiver skills training) are effective but limited by high costs, personnel shortages, and lack of 24/7 availability[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9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0CA8AD3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General care apps and guidebooks provide fragmented, unregulated information without evidence validation. They cannot adapt to individual ASD symptoms or dynamic daily care scenarios[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10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42B2CF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Conventional AI chatbots rely solely on large language models (LLMs), which generate hallucinations and lack clinical grounding, posing safety risks for vulnerable users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11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176DFF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No existing solution balances clinical reliability, personalization, accessibility, and affordability—creating a critical unmet need for ASD home care support.</w:t>
      </w:r>
    </w:p>
    <w:p w14:paraId="34462B1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D. How SpectraLink Works</w:t>
      </w:r>
    </w:p>
    <w:p w14:paraId="3CEB0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SpectraLink is a neuro-symbolic AI support system that integrates Knowledge Graphs (KGs) and LLMs to deliver safe, personalized, evidence-based care guidance for ASD caregivers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12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</w:t>
      </w:r>
    </w:p>
    <w:p w14:paraId="4F7B548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ASD Caregiving Knowledge Graph</w:t>
      </w:r>
      <w:r>
        <w:rPr>
          <w:rFonts w:hint="default" w:ascii="Arial" w:hAnsi="Arial" w:cs="Arial"/>
          <w:color w:val="000000"/>
          <w:sz w:val="24"/>
          <w:szCs w:val="24"/>
        </w:rPr>
        <w:t>: Built from authoritative guidelines, systematic reviews, and expert consensus, the KG stores structured, verified clinical knowledge. It eliminates AI hallucinations and ensures all recommendations are traceable to evidence bases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13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10DE32E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LLM for Natural Interaction</w:t>
      </w:r>
      <w:r>
        <w:rPr>
          <w:rFonts w:hint="default" w:ascii="Arial" w:hAnsi="Arial" w:cs="Arial"/>
          <w:color w:val="000000"/>
          <w:sz w:val="24"/>
          <w:szCs w:val="24"/>
        </w:rPr>
        <w:t>: The LLM interprets caregivers’ natural language queries and uses structured KG data to generate real-time, context-specific care plans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.</w:t>
      </w:r>
    </w:p>
    <w:p w14:paraId="75E55FD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Core Functions</w:t>
      </w:r>
      <w:r>
        <w:rPr>
          <w:rFonts w:hint="default" w:ascii="Arial" w:hAnsi="Arial" w:cs="Arial"/>
          <w:color w:val="000000"/>
          <w:sz w:val="24"/>
          <w:szCs w:val="24"/>
        </w:rPr>
        <w:t>: The system provides personalized behavioral intervention, daily care guidance, and caregiver mental health support. It is designed as a knowledge delivery tool, not a clinical diagnostic device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57A44E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This hybrid architecture combines clinical accuracy with natural interaction, solving the accuracy-personalization trade-off in existing tools</w:t>
      </w:r>
      <w:r>
        <w:rPr>
          <w:rFonts w:hint="eastAsia" w:eastAsia="宋体" w:cs="Arial"/>
          <w:color w:val="000000"/>
          <w:kern w:val="0"/>
          <w:sz w:val="24"/>
          <w:szCs w:val="24"/>
          <w:lang w:val="en-US" w:eastAsia="zh-CN" w:bidi="ar"/>
        </w:rPr>
        <w:t>[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14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</w:rPr>
        <w:t>].</w:t>
      </w:r>
    </w:p>
    <w:p w14:paraId="7A046A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E. Product Analysis and Evaluation</w:t>
      </w:r>
    </w:p>
    <w:p w14:paraId="36B23F9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 xml:space="preserve">Strengths </w:t>
      </w:r>
    </w:p>
    <w:p w14:paraId="254F790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sz w:val="24"/>
          <w:szCs w:val="24"/>
        </w:rPr>
        <w:t>Clinical Safety &amp; Interpretability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: Neuro-symbolic architecture anchors outputs to evidence-based guidelines and reduces hallucinations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eastAsia="zh-CN"/>
        </w:rPr>
        <w:t>[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val="en-US" w:eastAsia="zh-CN"/>
        </w:rPr>
        <w:t>15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].</w:t>
      </w:r>
    </w:p>
    <w:p w14:paraId="1DA5FA0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sz w:val="24"/>
          <w:szCs w:val="24"/>
        </w:rPr>
        <w:t>Personalization &amp; Adaptability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: Adapts to heterogeneous ASD phenotypes and dynamic home scenarios better than generic apps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eastAsia="zh-CN"/>
        </w:rPr>
        <w:t>[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1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val="en-US" w:eastAsia="zh-CN"/>
        </w:rPr>
        <w:t>6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].</w:t>
      </w:r>
    </w:p>
    <w:p w14:paraId="3FF7E17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sz w:val="24"/>
          <w:szCs w:val="24"/>
        </w:rPr>
        <w:t>Accessibility &amp; Scalability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: Mobile-based 24/7 support breaks geographic barriers at low cost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eastAsia="zh-CN"/>
        </w:rPr>
        <w:t>[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val="en-US" w:eastAsia="zh-CN"/>
        </w:rPr>
        <w:t>17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].</w:t>
      </w:r>
    </w:p>
    <w:p w14:paraId="55F4E20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sz w:val="24"/>
          <w:szCs w:val="24"/>
        </w:rPr>
        <w:t>Interdisciplinary Team &amp; Evidence Base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: Backed by systematic evidence synthesis and validated ASD care knowledge graph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eastAsia="zh-CN"/>
        </w:rPr>
        <w:t>[</w:t>
      </w:r>
      <w:r>
        <w:rPr>
          <w:rStyle w:val="13"/>
          <w:rFonts w:hint="eastAsia" w:eastAsia="宋体" w:cs="Arial"/>
          <w:b w:val="0"/>
          <w:bCs w:val="0"/>
          <w:color w:val="000000"/>
          <w:sz w:val="24"/>
          <w:szCs w:val="24"/>
          <w:lang w:val="en-US" w:eastAsia="zh-CN"/>
        </w:rPr>
        <w:t>1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8].</w:t>
      </w:r>
    </w:p>
    <w:p w14:paraId="76552EA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sz w:val="24"/>
          <w:szCs w:val="24"/>
        </w:rPr>
        <w:t>Dual Value</w:t>
      </w:r>
      <w:r>
        <w:rPr>
          <w:rStyle w:val="13"/>
          <w:rFonts w:hint="default" w:ascii="Arial" w:hAnsi="Arial" w:eastAsia="宋体" w:cs="Arial"/>
          <w:b w:val="0"/>
          <w:bCs w:val="0"/>
          <w:color w:val="000000"/>
          <w:sz w:val="24"/>
          <w:szCs w:val="24"/>
        </w:rPr>
        <w:t>: Supports both child development and caregiver mental well-being.</w:t>
      </w:r>
    </w:p>
    <w:p w14:paraId="562AEE0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Weaknesses</w:t>
      </w:r>
    </w:p>
    <w:p w14:paraId="1268FF4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Knowledge Graph Maintenance</w:t>
      </w:r>
      <w:r>
        <w:rPr>
          <w:rFonts w:hint="default" w:ascii="Arial" w:hAnsi="Arial" w:cs="Arial"/>
          <w:color w:val="000000"/>
          <w:sz w:val="24"/>
          <w:szCs w:val="24"/>
        </w:rPr>
        <w:t>: Requires ongoing expert review to keep content aligned with latest clinical evidence.</w:t>
      </w:r>
    </w:p>
    <w:p w14:paraId="51ABF09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User Adoption Barriers</w:t>
      </w:r>
      <w:r>
        <w:rPr>
          <w:rFonts w:hint="default" w:ascii="Arial" w:hAnsi="Arial" w:cs="Arial"/>
          <w:color w:val="000000"/>
          <w:sz w:val="24"/>
          <w:szCs w:val="24"/>
        </w:rPr>
        <w:t>: Caregivers with low digital literacy need extra onboarding support.</w:t>
      </w:r>
    </w:p>
    <w:p w14:paraId="492BFDA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Technical Dependencies</w:t>
      </w:r>
      <w:r>
        <w:rPr>
          <w:rFonts w:hint="default" w:ascii="Arial" w:hAnsi="Arial" w:cs="Arial"/>
          <w:color w:val="000000"/>
          <w:sz w:val="24"/>
          <w:szCs w:val="24"/>
        </w:rPr>
        <w:t>: Full functions rely on stable internet; offline capacity is limited.</w:t>
      </w:r>
    </w:p>
    <w:p w14:paraId="00E975C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Non-Diagnostic Positioning</w:t>
      </w:r>
      <w:r>
        <w:rPr>
          <w:rFonts w:hint="default" w:ascii="Arial" w:hAnsi="Arial" w:cs="Arial"/>
          <w:color w:val="000000"/>
          <w:sz w:val="24"/>
          <w:szCs w:val="24"/>
        </w:rPr>
        <w:t>: Must clearly communicate it does not replace clinical diagnosis.</w:t>
      </w:r>
    </w:p>
    <w:p w14:paraId="42DFAA0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Data Generalization</w:t>
      </w:r>
      <w:r>
        <w:rPr>
          <w:rFonts w:hint="default" w:ascii="Arial" w:hAnsi="Arial" w:cs="Arial"/>
          <w:color w:val="000000"/>
          <w:sz w:val="24"/>
          <w:szCs w:val="24"/>
        </w:rPr>
        <w:t>: Multicultural and multilingual datasets need further expansion .</w:t>
      </w:r>
    </w:p>
    <w:p w14:paraId="2931869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 xml:space="preserve">Opportunities </w:t>
      </w:r>
    </w:p>
    <w:p w14:paraId="595946F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Growing Market Demand</w:t>
      </w:r>
      <w:r>
        <w:rPr>
          <w:rFonts w:hint="default" w:ascii="Arial" w:hAnsi="Arial" w:cs="Arial"/>
          <w:color w:val="000000"/>
          <w:sz w:val="24"/>
          <w:szCs w:val="24"/>
        </w:rPr>
        <w:t>: Rising ASD prevalence and unmet home-care needs expand target user base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1</w:t>
      </w:r>
      <w:r>
        <w:rPr>
          <w:rFonts w:hint="default" w:ascii="Arial" w:hAnsi="Arial" w:cs="Arial"/>
          <w:color w:val="000000"/>
          <w:sz w:val="24"/>
          <w:szCs w:val="24"/>
        </w:rPr>
        <w:t>9].</w:t>
      </w:r>
    </w:p>
    <w:p w14:paraId="41AB416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Policy Support</w:t>
      </w:r>
      <w:r>
        <w:rPr>
          <w:rFonts w:hint="default" w:ascii="Arial" w:hAnsi="Arial" w:cs="Arial"/>
          <w:color w:val="000000"/>
          <w:sz w:val="24"/>
          <w:szCs w:val="24"/>
        </w:rPr>
        <w:t>: Favorable digital health and inclusive education policies lower barriers.</w:t>
      </w:r>
    </w:p>
    <w:p w14:paraId="10231A3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Tech Maturity</w:t>
      </w:r>
      <w:r>
        <w:rPr>
          <w:rFonts w:hint="default" w:ascii="Arial" w:hAnsi="Arial" w:cs="Arial"/>
          <w:color w:val="000000"/>
          <w:sz w:val="24"/>
          <w:szCs w:val="24"/>
        </w:rPr>
        <w:t>: Mature LLM/KG frameworks reduce technical risks in medical AI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20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0DE737B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Channel Expansion</w:t>
      </w:r>
      <w:r>
        <w:rPr>
          <w:rFonts w:hint="default" w:ascii="Arial" w:hAnsi="Arial" w:cs="Arial"/>
          <w:color w:val="000000"/>
          <w:sz w:val="24"/>
          <w:szCs w:val="24"/>
        </w:rPr>
        <w:t>: Partnerships with rehabilitation centers and parent groups enable trusted user acquisition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default" w:ascii="Arial" w:hAnsi="Arial" w:cs="Arial"/>
          <w:color w:val="000000"/>
          <w:sz w:val="24"/>
          <w:szCs w:val="24"/>
        </w:rPr>
        <w:t>21].</w:t>
      </w:r>
    </w:p>
    <w:p w14:paraId="682A78F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Product Extension</w:t>
      </w:r>
      <w:r>
        <w:rPr>
          <w:rFonts w:hint="default" w:ascii="Arial" w:hAnsi="Arial" w:cs="Arial"/>
          <w:color w:val="000000"/>
          <w:sz w:val="24"/>
          <w:szCs w:val="24"/>
        </w:rPr>
        <w:t>: Can expand to adolescent/adult ASD care and wearable integration.</w:t>
      </w:r>
    </w:p>
    <w:p w14:paraId="021929E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Threats</w:t>
      </w:r>
      <w:r>
        <w:rPr>
          <w:rFonts w:hint="default" w:ascii="Arial" w:hAnsi="Arial" w:cs="Arial"/>
          <w:color w:val="000000"/>
          <w:sz w:val="24"/>
          <w:szCs w:val="24"/>
        </w:rPr>
        <w:t xml:space="preserve"> </w:t>
      </w:r>
    </w:p>
    <w:p w14:paraId="6CDE3B5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Competition</w:t>
      </w:r>
      <w:r>
        <w:rPr>
          <w:rFonts w:hint="default" w:ascii="Arial" w:hAnsi="Arial" w:cs="Arial"/>
          <w:color w:val="000000"/>
          <w:sz w:val="24"/>
          <w:szCs w:val="24"/>
        </w:rPr>
        <w:t>: Emerging mental health chatbots and pediatric health tools increase market pressure.</w:t>
      </w:r>
    </w:p>
    <w:p w14:paraId="5B2D4D6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Strict Regulation</w:t>
      </w:r>
      <w:r>
        <w:rPr>
          <w:rFonts w:hint="default" w:ascii="Arial" w:hAnsi="Arial" w:cs="Arial"/>
          <w:color w:val="000000"/>
          <w:sz w:val="24"/>
          <w:szCs w:val="24"/>
        </w:rPr>
        <w:t>: Medical AI and data privacy laws increase compliance costs.</w:t>
      </w:r>
    </w:p>
    <w:p w14:paraId="2464F0C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Trust Challenges</w:t>
      </w:r>
      <w:r>
        <w:rPr>
          <w:rFonts w:hint="default" w:ascii="Arial" w:hAnsi="Arial" w:cs="Arial"/>
          <w:color w:val="000000"/>
          <w:sz w:val="24"/>
          <w:szCs w:val="24"/>
        </w:rPr>
        <w:t>: Public skepticism toward AI in pediatric care may slow adoption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11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6650C7F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Digital Divide</w:t>
      </w:r>
      <w:r>
        <w:rPr>
          <w:rFonts w:hint="default" w:ascii="Arial" w:hAnsi="Arial" w:cs="Arial"/>
          <w:color w:val="000000"/>
          <w:sz w:val="24"/>
          <w:szCs w:val="24"/>
        </w:rPr>
        <w:t>: Uneven digital literacy limits reach in low-income/rural families.</w:t>
      </w:r>
    </w:p>
    <w:p w14:paraId="4E5A396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cs="Arial"/>
          <w:b/>
          <w:bCs/>
          <w:color w:val="000000"/>
          <w:sz w:val="24"/>
          <w:szCs w:val="24"/>
        </w:rPr>
        <w:t>Data Security</w:t>
      </w:r>
      <w:r>
        <w:rPr>
          <w:rFonts w:hint="default" w:ascii="Arial" w:hAnsi="Arial" w:cs="Arial"/>
          <w:color w:val="000000"/>
          <w:sz w:val="24"/>
          <w:szCs w:val="24"/>
        </w:rPr>
        <w:t>: Sensitive health data requires strong protection to avoid reputation damage.</w:t>
      </w:r>
    </w:p>
    <w:p w14:paraId="0B95CB7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Cost-Benefit Analysis</w:t>
      </w:r>
    </w:p>
    <w:p w14:paraId="317B3F1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1. Costs</w:t>
      </w:r>
    </w:p>
    <w:p w14:paraId="2DC1A3D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The project incurs both one-time capital costs and recurring operational costs to ensure clinical validity and long-term stability.</w:t>
      </w:r>
    </w:p>
    <w:p w14:paraId="75572A9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One-time costs include the construction and validation of the ASD care knowledge graph, domain-specific LLM fine-tuning, mobile application development, and UI/UX design optimization.</w:t>
      </w:r>
    </w:p>
    <w:p w14:paraId="07730E7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Recurring costs mainly involve expert clinical consultation, regular knowledge graph updating to align with latest guidelines, cloud server and algorithm maintenance, user support, and compliance with data security regulations.</w:t>
      </w:r>
    </w:p>
    <w:p w14:paraId="4368AF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These investments are necessary to guarantee clinical accuracy, interpretability, and system safety, which are core advantages of SpectraLink</w:t>
      </w:r>
      <w:r>
        <w:rPr>
          <w:rFonts w:hint="eastAsia" w:eastAsia="宋体" w:cs="Arial"/>
          <w:b w:val="0"/>
          <w:bCs w:val="0"/>
          <w:color w:val="000000"/>
          <w:sz w:val="24"/>
          <w:szCs w:val="24"/>
          <w:lang w:eastAsia="zh-CN"/>
        </w:rPr>
        <w:t>[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14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].</w:t>
      </w:r>
    </w:p>
    <w:p w14:paraId="7E7DEEC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2. Benefits</w:t>
      </w:r>
    </w:p>
    <w:p w14:paraId="6452917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For child users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 xml:space="preserve">, 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SpectraLink provides evidence-based, personalized behavioral intervention and daily care guidance, which supports early development and improves long-term functional outcomes for children with ASD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.</w:t>
      </w:r>
    </w:p>
    <w:p w14:paraId="6686DE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For caregivers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, t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he system effectively reduces the heavy financial burden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and chronic psychological stress, lowering anxiety and burnout while improving caregiving confidence and capability.</w:t>
      </w:r>
    </w:p>
    <w:p w14:paraId="7E83162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20" w:firstLineChars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For healthcare systems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, b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y offering scalable, accessible, and low-cost home-based support, SpectraLink alleviates shortages of professional rehabilitation resources, reduces uneven service distribution, and promotes health equity in remote and low-resource regions.</w:t>
      </w:r>
    </w:p>
    <w:p w14:paraId="10DACDE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For sustainable development</w:t>
      </w:r>
      <w:r>
        <w:rPr>
          <w:rFonts w:hint="eastAsia" w:ascii="Arial" w:hAnsi="Arial" w:eastAsia="宋体" w:cs="Arial"/>
          <w:b w:val="0"/>
          <w:bCs w:val="0"/>
          <w:color w:val="000000"/>
          <w:sz w:val="24"/>
          <w:szCs w:val="24"/>
          <w:lang w:val="en-US" w:eastAsia="zh-CN"/>
        </w:rPr>
        <w:t>, t</w:t>
      </w:r>
      <w:r>
        <w:rPr>
          <w:rFonts w:hint="default" w:ascii="Arial" w:hAnsi="Arial" w:cs="Arial"/>
          <w:b w:val="0"/>
          <w:bCs w:val="0"/>
          <w:color w:val="000000"/>
          <w:sz w:val="24"/>
          <w:szCs w:val="24"/>
        </w:rPr>
        <w:t>he business model ensures core functions remain free for public access, while premium services provide stable revenue to support continuous iteration, forming a self-sustaining operational system.</w:t>
      </w:r>
    </w:p>
    <w:p w14:paraId="0D98FC6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>F. Implementation Process</w:t>
      </w:r>
    </w:p>
    <w:p w14:paraId="17E6D5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Target Audience</w:t>
      </w:r>
    </w:p>
    <w:p w14:paraId="74FFB8C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Core: Parents, grandparents, and family caregivers of children with ASD.</w:t>
      </w:r>
    </w:p>
    <w:p w14:paraId="6052957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Secondary: Special education teachers, rehabilitation therapists, pediatric nurses.</w:t>
      </w:r>
    </w:p>
    <w:p w14:paraId="07447D7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Feasibility</w:t>
      </w:r>
    </w:p>
    <w:p w14:paraId="649B4B5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Technical: Mature LLM/KG frameworks with proven medical AI validity; team has built preliminary KG and prototype[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20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3566ABE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Operational: Mobile-app format enables low-cost deployment; localized data processing ensures compliance.</w:t>
      </w:r>
    </w:p>
    <w:p w14:paraId="1439A70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Creativity</w:t>
      </w:r>
    </w:p>
    <w:p w14:paraId="7BE8EEF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Neuro-symbolic design innovatively merges structured medical knowledge with flexible interaction</w:t>
      </w:r>
      <w:r>
        <w:rPr>
          <w:rFonts w:hint="eastAsia" w:eastAsia="宋体" w:cs="Arial"/>
          <w:color w:val="000000"/>
          <w:sz w:val="24"/>
          <w:szCs w:val="24"/>
          <w:lang w:eastAsia="zh-CN"/>
        </w:rPr>
        <w:t>[</w:t>
      </w:r>
      <w:r>
        <w:rPr>
          <w:rFonts w:hint="default" w:ascii="Arial" w:hAnsi="Arial" w:cs="Arial"/>
          <w:color w:val="000000"/>
          <w:sz w:val="24"/>
          <w:szCs w:val="24"/>
        </w:rPr>
        <w:t>2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2</w:t>
      </w:r>
      <w:r>
        <w:rPr>
          <w:rFonts w:hint="default" w:ascii="Arial" w:hAnsi="Arial" w:cs="Arial"/>
          <w:color w:val="000000"/>
          <w:sz w:val="24"/>
          <w:szCs w:val="24"/>
        </w:rPr>
        <w:t>].</w:t>
      </w:r>
    </w:p>
    <w:p w14:paraId="3FECC58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Focus on caregiver mental health distinguishes it from child-only interventions.</w:t>
      </w:r>
    </w:p>
    <w:p w14:paraId="58F20DC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Adaptability &amp; Growth Viability</w:t>
      </w:r>
    </w:p>
    <w:p w14:paraId="065C377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Expand to adolescent/adult ASD care, multilingual support, and wearable devices.</w:t>
      </w:r>
    </w:p>
    <w:p w14:paraId="44F05F0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User-feedback loops enable continuous optimization.</w:t>
      </w:r>
    </w:p>
    <w:p w14:paraId="6D4469A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Scalability &amp; Sustainability</w:t>
      </w:r>
    </w:p>
    <w:p w14:paraId="423596F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Deployment: Pilot testing → iterative optimization → official app launch.</w:t>
      </w:r>
    </w:p>
    <w:p w14:paraId="51590A9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Business model: Freemium (basic free; premium subscription).</w:t>
      </w:r>
    </w:p>
    <w:p w14:paraId="602CB371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③</w:t>
      </w:r>
      <w:r>
        <w:rPr>
          <w:rFonts w:hint="default" w:ascii="Arial" w:hAnsi="Arial" w:cs="Arial"/>
          <w:color w:val="000000"/>
          <w:sz w:val="24"/>
          <w:szCs w:val="24"/>
        </w:rPr>
        <w:t>Marketing: Multi-channel outreach via associations, social media, and offline workshops.</w:t>
      </w:r>
    </w:p>
    <w:p w14:paraId="724A613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④</w:t>
      </w:r>
      <w:r>
        <w:rPr>
          <w:rFonts w:hint="default" w:ascii="Arial" w:hAnsi="Arial" w:cs="Arial"/>
          <w:color w:val="000000"/>
          <w:sz w:val="24"/>
          <w:szCs w:val="24"/>
        </w:rPr>
        <w:t>Partnerships: Collaborate with ASD institutions and clinical experts.</w:t>
      </w:r>
    </w:p>
    <w:p w14:paraId="448A2D1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Style w:val="13"/>
          <w:rFonts w:hint="default" w:ascii="Arial" w:hAnsi="Arial" w:eastAsia="宋体" w:cs="Arial"/>
          <w:b/>
          <w:bCs/>
          <w:color w:val="000000"/>
          <w:kern w:val="0"/>
          <w:sz w:val="24"/>
          <w:szCs w:val="24"/>
          <w:lang w:val="en-US" w:eastAsia="zh-CN" w:bidi="ar"/>
        </w:rPr>
        <w:t>Regulatory &amp; Ethical Considerations</w:t>
      </w:r>
    </w:p>
    <w:p w14:paraId="27E697E0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Arial" w:hAnsi="Arial" w:cs="Arial"/>
          <w:color w:val="000000"/>
          <w:sz w:val="24"/>
          <w:szCs w:val="24"/>
        </w:rPr>
        <w:t>Classified as medical knowledge-support tool, not diagnostic device.</w:t>
      </w:r>
    </w:p>
    <w:p w14:paraId="594F4706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Arial" w:hAnsi="Arial" w:cs="Arial"/>
          <w:color w:val="000000"/>
          <w:sz w:val="24"/>
          <w:szCs w:val="24"/>
        </w:rPr>
        <w:t>Anonymize data, obtain informed consent, and provide clear disclaimer</w:t>
      </w:r>
      <w:r>
        <w:rPr>
          <w:rFonts w:hint="eastAsia" w:ascii="Arial" w:hAnsi="Arial" w:eastAsia="宋体" w:cs="Arial"/>
          <w:color w:val="000000"/>
          <w:sz w:val="24"/>
          <w:szCs w:val="24"/>
          <w:lang w:val="en-US" w:eastAsia="zh-CN"/>
        </w:rPr>
        <w:t>s</w:t>
      </w:r>
      <w:r>
        <w:rPr>
          <w:rFonts w:hint="default" w:ascii="Arial" w:hAnsi="Arial" w:cs="Arial"/>
          <w:color w:val="000000"/>
          <w:sz w:val="24"/>
          <w:szCs w:val="24"/>
        </w:rPr>
        <w:t>.</w:t>
      </w:r>
    </w:p>
    <w:p w14:paraId="5BF9DE6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</w:p>
    <w:p w14:paraId="17FEA1B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</w:rPr>
        <w:t xml:space="preserve">References </w:t>
      </w:r>
    </w:p>
    <w:p w14:paraId="3402433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Hallford, D. J., Austin, D. W., Takano, K., &amp; Raes, F. (2018). Psychopathology and episodic future thinking: A systematic review and meta-analysis of specificity and episodic detail.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Behaviour Research and Therapy, 106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, 42–54.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"https://doi.org/10.1016/j.brat.2018.04.004"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https://doi.org/10.1016/j.brat.2018.04.004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5C5E72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]</w:t>
      </w:r>
      <w:r>
        <w:rPr>
          <w:rFonts w:hint="eastAsia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Abd-Alrazaq, A. A., Rababeh, A., Alajlani, M., Bewick, B. M., &amp; Househ, M. (2020). Effectiveness and safety of using chatbots to improve mental health: Systematic review and meta-analysis.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Journal of Medical Internet Research, 22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(7), e16021.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"https://doi.org/10.2196/16021"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https://doi.org/10.2196/16021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25E5F0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3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Chao, K. Y., Chang, H. L., Chin, W. C., Li, H. M., &amp; Chen, S. H. (2018). How Taiwanese parents of children with autism spectrum disorder experience the process of obtaining a diagnosis: A descriptive phenomenological analysis.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Autism: The International Journal of Research and Practice, 22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(4), 388–400.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"https://doi.org/10.1177/1362361316680915"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https://doi.org/10.1177/1362361316680915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7ACDB3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[4] Crowell, J. A., Keluskar, J., &amp; Gorecki, A. (2019). Parenting behavior and the development of children with autism spectrum disorder.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Comprehensive Psychiatry, 90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, 21–29.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"https://doi.org/10.1016/j.comppsych.2018.11.007"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https://doi.org/10.1016/j.comppsych.2018.11.007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208CED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5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Zhao, Y. N., Li, Z. W., Li, L., Guan, C. R., Yin, Y. F., Yang, Y. F., et al. (2023). Screening and prevalence of autism spectrum disorder among children aged 0–6 years in China.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Chinese Journal of Reproductive Health, 34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(5), 423–428.</w:t>
      </w:r>
    </w:p>
    <w:p w14:paraId="7301FF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Jia, M. X. (2022).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2021 Blue Book of Child Developmental Disorder Rehabilitation Industry: Medical Synthesis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. Peking University Medical Press.</w:t>
      </w:r>
    </w:p>
    <w:p w14:paraId="5B0695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7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] Kumar, V. M., &amp; Keerthana, A. (2016). Sanative chatbot for health seekers. International Journal of Engineering and Computer Science, 5(3), 95–99. https://doi.org/10.18535/ijecs/v5i3.28</w:t>
      </w:r>
    </w:p>
    <w:p w14:paraId="5FFE09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Nuruzzaman, M., &amp; Hussain, O. K. (2018). A survey on chatbot implementation in customer service industry through deep neural networks.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IEEE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. https://doi.org/10.1109/ICEBE.2018.00019</w:t>
      </w:r>
    </w:p>
    <w:p w14:paraId="0A114B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9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Schnabel, A., Youssef, G. J., Hallford, D. J., Hartley, E. J., McGillivray, J. A., Stewart, M., Forbes, D., &amp; Austin, D. W. (2020). Psychopathology in parents of children with autism spectrum disorder: A systematic review and meta-analysis of prevalence.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Autism: The International Journal of Research and Practice, 24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(1), 26–40.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"https://doi.org/10.1177/1362361319844636"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https://doi.org/10.1177/1362361319844636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0B2BD7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10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Shorey, S., Ng, E. D., Haugan, G., &amp; Law, E. (2020). The parenting experiences and needs of Asian primary caregivers of children with autism: A meta-synthesis.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Autism: The International Journal of Research and Practice, 24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(3), 591–604.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"https://doi.org/10.1177/1362361319886513"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https://doi.org/10.1177/1362361319886513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333989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11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Singh, B., Olds, T., Brinsley, J., Dumuid, D., Virgara, R., Matricciani, L., Watson, A., Szeto, K., Eglitis, E., Miatke, A., Simpson, C. E. M., Vandelanotte, C., &amp; Maher, C. (2023). Systematic review and meta-analysis of the effectiveness of chatbots on lifestyle behaviours.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NPJ Digital Medicine, 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(1), 118.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"https://doi.org/10.1038/s41746-023-00856-1"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https://doi.org/10.1038/s41746-023-00856-1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264850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Cheng, K., Ahmed, N. K., Rossi, R. A., Willke, T., &amp; Sun, Y. (2024). Neural-Symbolic Methods for Knowledge Graph Reasoning: A Survey.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ACM Trans. Knowl. Discov. Data, 18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(9), Article 225.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"https://doi.org/10.1145/3686806"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https://doi.org/10.1145/3686806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163CC9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13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Thoumrungroje, P., Chainarong, A., Namwaing, P., Pitiruangsit, L., Sittichanbuncha, Y., Ngamjarus, C., Sawanyawisuth, K., &amp; Sawunyavisuth, B. (2023). Chatbot intervention in asthma and obstructive sleep apnea: A systematic review. Journal of the Medical Association of Thailand, 106(Suppl. 1), S134–S138.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"https://doi.org/10.35755/jmedassocthai.2023.S01.13741"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https://doi.org/10.35755/jmedassocthai.2023.S01.13741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7D07B7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14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Yang, J. Z. (2024). Integrated application of LLM model and knowledge graph in medical text mining and knowledge extraction.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Social Medicine and Health Management, 5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, 56–62.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"http://dx.doi.org/10.23977/socmhm.2024.050208"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http://dx.doi.org/10.23977/socmhm.2024.050208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16F742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15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Cheng, K., Ahmed, N. K., Rossi, R. A., Willke, T., &amp; Sun, Y. (2024). Neural-Symbolic Methods for Knowledge Graph Reasoning: A Survey.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ACM Trans. Knowl. Discov. Data, 18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(9), Article 225.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"https://doi.org/10.1145/3686806"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https://doi.org/10.1145/3686806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7D099C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Masi, A., DeMayo, M. M., Glozier, N., &amp; Guastella, A. J. (2017). An Overview of Autism Spectrum Disorder, Heterogeneity and Treatment Options.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Neuroscience bulletin, 33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(2), 183–193.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"https://doi.org/10.1007/s12264-017-0100-y"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https://doi.org/10.1007/s12264-017-0100-y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27667F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17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Lim, S. M., Shiau, C. W. C., Cheng, L. J., &amp; Lau, Y. (2022). Chatbot-delivered psychotherapy for adults with depressive and anxiety symptoms: A systematic review and meta-regression.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Behavior Therapy, 53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(2), 334–347.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"https://doi.org/10.1016/j.beth.2021.09.007"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https://doi.org/10.1016/j.beth.2021.09.007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0AFF14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Ishler, K. J., Berg, K. A., Olgac, T., Obeid, R., &amp; Biegel, D. E. (2023). Barriers to service and unmet need among autistic adolescents and young adults.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Autism: The International Journal of Research and Practice, 27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(7), 1997–2010.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"https://doi.org/10.1177/13623613221150569"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https://doi.org/10.1177/13623613221150569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414592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19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Zhou, H., Xu, X., Yan, W., Zou, X., Wu, L., Luo, X., Li, T., Huang, Y., Guan, H., Chen, X., Mao, M., Xia, K., Zhang, L., Li, E., Ge, X., Zhang, L., Li, C., Zhang, X., Zhou, Y., Ding, D., et al. (2020). Prevalence of autism spectrum disorder in China: A nationwide multi-center population-based study among children aged 6 to 12 years.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Neuroscience Bulletin, 36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(9), 961–971.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"https://doi.org/10.1007/s12264-020-00530-6"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https://doi.org/10.1007/s12264-020-00530-6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536351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20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BioScientist Agent: Designing LLM-Biomedical Agents with KG-Augmented RL Reasoning Modules for Drug Repurposing and Mechanistic of Action Elucidation.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"https://www.biorxiv.org/content/10.1101/2025.08.08.669291v2"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https://www.biorxiv.org/content/10.1101/2025.08.08.669291v2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33788D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[21] Shivers, C. M., Sonnier-Netto, L., &amp; Lee, G. K. (2019). Needs and experiences of family caregivers of individuals with autism spectrum disorders across the lifespan.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Journal of Policy and Practice in Intellectual Disabilities, 16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(1), 21–29.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"https://doi.org/10.1111/jppi.12272"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https://doi.org/10.1111/jppi.12272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p w14:paraId="7603EC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Arial" w:hAnsi="Arial" w:cs="Arial"/>
          <w:color w:val="auto"/>
          <w:sz w:val="24"/>
          <w:szCs w:val="24"/>
          <w:u w:val="none"/>
          <w:rtl w:val="0"/>
        </w:rPr>
      </w:pP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[</w:t>
      </w:r>
      <w:r>
        <w:rPr>
          <w:rFonts w:hint="eastAsia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22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] Cheng, K., Ahmed, N. K., Rossi, R. A., Willke, T., &amp; Sun, Y. (2024). Neural-Symbolic Methods for Knowledge Graph Reasoning: A Survey. </w:t>
      </w:r>
      <w:r>
        <w:rPr>
          <w:rStyle w:val="14"/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>ACM Trans. Knowl. Discov. Data, 18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t xml:space="preserve">(9), Article 225. 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instrText xml:space="preserve"> HYPERLINK "https://doi.org/10.1145/3686806" \t "C:\\Users\\zheng\\AppData\\Local\\Temp\\_blank" </w:instrTex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宋体" w:cs="Arial"/>
          <w:color w:val="auto"/>
          <w:sz w:val="24"/>
          <w:szCs w:val="24"/>
          <w:highlight w:val="none"/>
          <w:u w:val="none"/>
        </w:rPr>
        <w:t>https://doi.org/10.1145/3686806</w:t>
      </w:r>
      <w:r>
        <w:rPr>
          <w:rFonts w:hint="default" w:ascii="Arial" w:hAnsi="Arial" w:eastAsia="宋体" w:cs="Arial"/>
          <w:color w:val="auto"/>
          <w:kern w:val="0"/>
          <w:sz w:val="24"/>
          <w:szCs w:val="24"/>
          <w:highlight w:val="none"/>
          <w:u w:val="none"/>
          <w:lang w:val="en-US" w:eastAsia="zh-CN" w:bidi="ar"/>
        </w:rPr>
        <w:fldChar w:fldCharType="end"/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352F1F6-89D0-9BFB-7AEE-EE696A6FDF33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2" w:fontKey="{F77622C1-46A2-3FFE-7AEE-EE698E631FC2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3" w:fontKey="{12863C95-CBC5-5D1D-7AEE-EE699E912819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>
    <w:pPr>
      <w:jc w:val="right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fldChar w:fldCharType="begin"/>
    </w:r>
    <w:r>
      <w:rPr>
        <w:rFonts w:ascii="Calibri" w:hAnsi="Calibri" w:eastAsia="Calibri" w:cs="Calibri"/>
        <w:sz w:val="24"/>
        <w:szCs w:val="24"/>
      </w:rPr>
      <w:instrText xml:space="preserve">PAGE</w:instrText>
    </w:r>
    <w:r>
      <w:rPr>
        <w:rFonts w:ascii="Calibri" w:hAnsi="Calibri" w:eastAsia="Calibri" w:cs="Calibri"/>
        <w:sz w:val="24"/>
        <w:szCs w:val="24"/>
      </w:rPr>
      <w:fldChar w:fldCharType="separate"/>
    </w:r>
    <w:r>
      <w:rPr>
        <w:rFonts w:ascii="Calibri" w:hAnsi="Calibri" w:eastAsia="Calibri" w:cs="Calibri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F">
    <w:pPr>
      <w:jc w:val="right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fldChar w:fldCharType="begin"/>
    </w:r>
    <w:r>
      <w:rPr>
        <w:rFonts w:ascii="Calibri" w:hAnsi="Calibri" w:eastAsia="Calibri" w:cs="Calibri"/>
        <w:sz w:val="24"/>
        <w:szCs w:val="24"/>
      </w:rPr>
      <w:instrText xml:space="preserve">PAGE</w:instrText>
    </w:r>
    <w:r>
      <w:rPr>
        <w:rFonts w:ascii="Calibri" w:hAnsi="Calibri" w:eastAsia="Calibri" w:cs="Calibri"/>
        <w:sz w:val="24"/>
        <w:szCs w:val="24"/>
      </w:rPr>
      <w:fldChar w:fldCharType="separate"/>
    </w:r>
    <w:r>
      <w:rPr>
        <w:rFonts w:ascii="Calibri" w:hAnsi="Calibri" w:eastAsia="Calibri" w:cs="Calibri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C">
    <w:pPr>
      <w:spacing w:line="276" w:lineRule="auto"/>
      <w:ind w:left="-990" w:firstLine="0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-723265</wp:posOffset>
          </wp:positionH>
          <wp:positionV relativeFrom="paragraph">
            <wp:posOffset>-275590</wp:posOffset>
          </wp:positionV>
          <wp:extent cx="1371600" cy="600075"/>
          <wp:effectExtent l="0" t="0" r="0" b="0"/>
          <wp:wrapNone/>
          <wp:docPr id="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jpg"/>
                  <pic:cNvPicPr preferRelativeResize="0"/>
                </pic:nvPicPr>
                <pic:blipFill>
                  <a:blip r:embed="rId1"/>
                  <a:srcRect l="2564" t="5911" r="60512" b="71288"/>
                  <a:stretch>
                    <a:fillRect/>
                  </a:stretch>
                </pic:blipFill>
                <pic:spPr>
                  <a:xfrm>
                    <a:off x="0" y="0"/>
                    <a:ext cx="13716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723900</wp:posOffset>
          </wp:positionH>
          <wp:positionV relativeFrom="paragraph">
            <wp:posOffset>-142240</wp:posOffset>
          </wp:positionV>
          <wp:extent cx="1652905" cy="33464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588" cy="3347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3867150</wp:posOffset>
          </wp:positionH>
          <wp:positionV relativeFrom="paragraph">
            <wp:posOffset>-256540</wp:posOffset>
          </wp:positionV>
          <wp:extent cx="2733675" cy="565150"/>
          <wp:effectExtent l="0" t="0" r="0" b="0"/>
          <wp:wrapNone/>
          <wp:docPr id="1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g"/>
                  <pic:cNvPicPr preferRelativeResize="0"/>
                </pic:nvPicPr>
                <pic:blipFill>
                  <a:blip r:embed="rId3"/>
                  <a:srcRect b="11140"/>
                  <a:stretch>
                    <a:fillRect/>
                  </a:stretch>
                </pic:blipFill>
                <pic:spPr>
                  <a:xfrm>
                    <a:off x="0" y="0"/>
                    <a:ext cx="2733675" cy="565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D">
    <w:pPr>
      <w:spacing w:line="276" w:lineRule="auto"/>
      <w:ind w:left="-990" w:firstLine="0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723900</wp:posOffset>
          </wp:positionH>
          <wp:positionV relativeFrom="paragraph">
            <wp:posOffset>-208915</wp:posOffset>
          </wp:positionV>
          <wp:extent cx="1652905" cy="334645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588" cy="3347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-723265</wp:posOffset>
          </wp:positionH>
          <wp:positionV relativeFrom="paragraph">
            <wp:posOffset>-342265</wp:posOffset>
          </wp:positionV>
          <wp:extent cx="1371600" cy="600075"/>
          <wp:effectExtent l="0" t="0" r="0" b="0"/>
          <wp:wrapNone/>
          <wp:docPr id="1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.jpg"/>
                  <pic:cNvPicPr preferRelativeResize="0"/>
                </pic:nvPicPr>
                <pic:blipFill>
                  <a:blip r:embed="rId2"/>
                  <a:srcRect l="2564" t="5911" r="60512" b="71288"/>
                  <a:stretch>
                    <a:fillRect/>
                  </a:stretch>
                </pic:blipFill>
                <pic:spPr>
                  <a:xfrm>
                    <a:off x="0" y="0"/>
                    <a:ext cx="13716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3743325</wp:posOffset>
          </wp:positionH>
          <wp:positionV relativeFrom="paragraph">
            <wp:posOffset>-323215</wp:posOffset>
          </wp:positionV>
          <wp:extent cx="2733675" cy="565150"/>
          <wp:effectExtent l="0" t="0" r="0" b="0"/>
          <wp:wrapNone/>
          <wp:docPr id="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jpg"/>
                  <pic:cNvPicPr preferRelativeResize="0"/>
                </pic:nvPicPr>
                <pic:blipFill>
                  <a:blip r:embed="rId3"/>
                  <a:srcRect b="11140"/>
                  <a:stretch>
                    <a:fillRect/>
                  </a:stretch>
                </pic:blipFill>
                <pic:spPr>
                  <a:xfrm>
                    <a:off x="0" y="0"/>
                    <a:ext cx="2733675" cy="565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EC6DC"/>
    <w:multiLevelType w:val="singleLevel"/>
    <w:tmpl w:val="9C7EC6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CB2D55F"/>
    <w:multiLevelType w:val="multilevel"/>
    <w:tmpl w:val="9CB2D55F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B27EFBC9"/>
    <w:multiLevelType w:val="singleLevel"/>
    <w:tmpl w:val="B27EFBC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D2CEF98"/>
    <w:multiLevelType w:val="multilevel"/>
    <w:tmpl w:val="CD2CEF98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F3E06F9F"/>
    <w:multiLevelType w:val="singleLevel"/>
    <w:tmpl w:val="F3E06F9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E661267"/>
    <w:multiLevelType w:val="singleLevel"/>
    <w:tmpl w:val="2E661267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426DC8DF"/>
    <w:multiLevelType w:val="multilevel"/>
    <w:tmpl w:val="426DC8DF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7">
    <w:nsid w:val="505796B4"/>
    <w:multiLevelType w:val="singleLevel"/>
    <w:tmpl w:val="505796B4"/>
    <w:lvl w:ilvl="0" w:tentative="0">
      <w:start w:val="1"/>
      <w:numFmt w:val="decimal"/>
      <w:suff w:val="space"/>
      <w:lvlText w:val="[%1]"/>
      <w:lvlJc w:val="left"/>
    </w:lvl>
  </w:abstractNum>
  <w:abstractNum w:abstractNumId="8">
    <w:nsid w:val="7856544C"/>
    <w:multiLevelType w:val="multilevel"/>
    <w:tmpl w:val="7856544C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AB03CB"/>
    <w:rsid w:val="017469FA"/>
    <w:rsid w:val="190D6E2A"/>
    <w:rsid w:val="519A4524"/>
    <w:rsid w:val="53FE42EA"/>
    <w:rsid w:val="7A6F4B60"/>
    <w:rsid w:val="A75E1C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1"/>
    <w:basedOn w:val="16"/>
    <w:qFormat/>
    <w:uiPriority w:val="0"/>
  </w:style>
  <w:style w:type="table" w:customStyle="1" w:styleId="18">
    <w:name w:val="_Style 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XW3GDsiPizVcIGoCLzd5FbFSh5g==">CgMxLjA4AHIhMVg4U0VmQWZVempUejdwSXFhb20wQ3JOaTBFY1pVQUZm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2049</Words>
  <Characters>13381</Characters>
  <TotalTime>15</TotalTime>
  <ScaleCrop>false</ScaleCrop>
  <LinksUpToDate>false</LinksUpToDate>
  <CharactersWithSpaces>15268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2026-04-12T13:46:00Z</dcterms:created>
  <dc:creator>zheng</dc:creator>
  <cp:lastModifiedBy>朱丽烨</cp:lastModifiedBy>
  <dcterms:modified xsi:type="dcterms:W3CDTF">2026-04-27T13:04:58Z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eyJoZGlkIjoiMzViMzU2MTczNzc5NGY0ZDZhMTM4NTViNjI3Y2NkOWUiLCJ1c2VySWQiOiIxNzQ0OTUxNjU2In0=</vt:lpwstr>
  </property>
  <property fmtid="{D5CDD505-2E9C-101B-9397-08002B2CF9AE}" pid="3" name="KSOProductBuildVer">
    <vt:lpwstr>2052-12.1.25205.25205</vt:lpwstr>
  </property>
  <property fmtid="{D5CDD505-2E9C-101B-9397-08002B2CF9AE}" pid="4" name="ICV">
    <vt:lpwstr>7F9E54212DC03CF67AEEEE6928E02E8C_43</vt:lpwstr>
  </property>
</Properties>
</file>