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4CB" w:rsidRDefault="000064CB"/>
    <w:p w:rsidR="000064CB" w:rsidRDefault="00000000"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Oneway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:rsidR="000064CB" w:rsidRDefault="000064CB"/>
    <w:p w:rsidR="000064CB" w:rsidRDefault="000064C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6"/>
        <w:gridCol w:w="1666"/>
        <w:gridCol w:w="1156"/>
        <w:gridCol w:w="1513"/>
        <w:gridCol w:w="1156"/>
        <w:gridCol w:w="1156"/>
      </w:tblGrid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8483" w:type="dxa"/>
            <w:gridSpan w:val="6"/>
            <w:shd w:val="clear" w:color="auto" w:fill="FFFFFF"/>
            <w:vAlign w:val="center"/>
          </w:tcPr>
          <w:p w:rsidR="000064CB" w:rsidRPr="008128FD" w:rsidRDefault="00000000">
            <w:pPr>
              <w:spacing w:before="5" w:after="3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>ANOVA</w:t>
            </w:r>
          </w:p>
        </w:tc>
      </w:tr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8483" w:type="dxa"/>
            <w:gridSpan w:val="6"/>
            <w:shd w:val="clear" w:color="auto" w:fill="FFFFFF"/>
            <w:vAlign w:val="bottom"/>
          </w:tcPr>
          <w:p w:rsidR="000064CB" w:rsidRPr="008128FD" w:rsidRDefault="00000000">
            <w:pPr>
              <w:spacing w:before="5" w:after="15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Alter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64CB">
            <w:pPr>
              <w:spacing w:before="15" w:after="5"/>
              <w:ind w:left="30" w:right="40"/>
              <w:rPr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Sum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of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Squares</w:t>
            </w:r>
            <w:proofErr w:type="spellEnd"/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.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Between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Groups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4880.656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2440.328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14.364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Within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Groups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132515.620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780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169.892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137396.276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782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</w:tr>
    </w:tbl>
    <w:p w:rsidR="000064CB" w:rsidRDefault="000064C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788"/>
        <w:gridCol w:w="1615"/>
        <w:gridCol w:w="1292"/>
        <w:gridCol w:w="1292"/>
      </w:tblGrid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7820" w:type="dxa"/>
            <w:gridSpan w:val="5"/>
            <w:shd w:val="clear" w:color="auto" w:fill="FFFFFF"/>
            <w:vAlign w:val="center"/>
          </w:tcPr>
          <w:p w:rsidR="000064CB" w:rsidRPr="008128FD" w:rsidRDefault="00000000">
            <w:pPr>
              <w:spacing w:before="5" w:after="3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 xml:space="preserve">ANOVA </w:t>
            </w:r>
            <w:proofErr w:type="spellStart"/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>Effect</w:t>
            </w:r>
            <w:proofErr w:type="spellEnd"/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>Sizes</w:t>
            </w:r>
            <w:r w:rsidRPr="008128FD">
              <w:rPr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3621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64CB">
            <w:pPr>
              <w:spacing w:before="15" w:after="5"/>
              <w:ind w:left="30" w:right="40"/>
              <w:rPr>
                <w:sz w:val="18"/>
                <w:szCs w:val="18"/>
              </w:rPr>
            </w:pPr>
          </w:p>
        </w:tc>
        <w:tc>
          <w:tcPr>
            <w:tcW w:w="1615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Point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2584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95% Confidence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</w:t>
            </w:r>
            <w:proofErr w:type="spellEnd"/>
          </w:p>
        </w:tc>
      </w:tr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362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29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Alter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Eta-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61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29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9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.063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Epsilon-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6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.061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Omega-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squared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Fixed-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effect</w:t>
            </w:r>
            <w:proofErr w:type="spellEnd"/>
          </w:p>
        </w:tc>
        <w:tc>
          <w:tcPr>
            <w:tcW w:w="16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.061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Omega-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squared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Random-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effect</w:t>
            </w:r>
            <w:proofErr w:type="spellEnd"/>
          </w:p>
        </w:tc>
        <w:tc>
          <w:tcPr>
            <w:tcW w:w="161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.031</w:t>
            </w:r>
          </w:p>
        </w:tc>
      </w:tr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7820" w:type="dxa"/>
            <w:gridSpan w:val="5"/>
            <w:shd w:val="clear" w:color="auto" w:fill="FFFFFF"/>
          </w:tcPr>
          <w:p w:rsidR="000064CB" w:rsidRPr="008128FD" w:rsidRDefault="00000000">
            <w:pPr>
              <w:rPr>
                <w:sz w:val="18"/>
                <w:szCs w:val="18"/>
                <w:lang w:val="en-US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  <w:lang w:val="en-US"/>
              </w:rPr>
              <w:t>a. Eta-squared and Epsilon-squared are estimated based on the fixed-effect model.</w:t>
            </w:r>
          </w:p>
        </w:tc>
      </w:tr>
    </w:tbl>
    <w:p w:rsidR="000064CB" w:rsidRPr="008128FD" w:rsidRDefault="000064CB">
      <w:pPr>
        <w:rPr>
          <w:lang w:val="en-US"/>
        </w:rPr>
      </w:pPr>
    </w:p>
    <w:p w:rsidR="000064CB" w:rsidRDefault="00000000">
      <w:pPr>
        <w:spacing w:before="200"/>
      </w:pPr>
      <w:r w:rsidRPr="008128FD">
        <w:rPr>
          <w:rFonts w:ascii="Arial" w:eastAsia="Arial" w:hAnsi="Arial" w:cs="Arial"/>
          <w:b/>
          <w:color w:val="000000"/>
          <w:sz w:val="28"/>
          <w:lang w:val="en-US"/>
        </w:rPr>
        <w:cr/>
      </w:r>
      <w:r>
        <w:rPr>
          <w:rFonts w:ascii="Arial" w:eastAsia="Arial" w:hAnsi="Arial" w:cs="Arial"/>
          <w:b/>
          <w:color w:val="000000"/>
          <w:sz w:val="28"/>
        </w:rPr>
        <w:t>Post Hoc Tests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:rsidR="000064CB" w:rsidRDefault="000064C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2788"/>
        <w:gridCol w:w="1666"/>
        <w:gridCol w:w="1173"/>
        <w:gridCol w:w="1156"/>
        <w:gridCol w:w="1496"/>
      </w:tblGrid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11067" w:type="dxa"/>
            <w:gridSpan w:val="6"/>
            <w:shd w:val="clear" w:color="auto" w:fill="FFFFFF"/>
            <w:vAlign w:val="center"/>
          </w:tcPr>
          <w:p w:rsidR="000064CB" w:rsidRPr="008128FD" w:rsidRDefault="00000000">
            <w:pPr>
              <w:spacing w:before="5" w:after="3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 xml:space="preserve">Multiple </w:t>
            </w:r>
            <w:proofErr w:type="spellStart"/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>Comparisons</w:t>
            </w:r>
            <w:proofErr w:type="spellEnd"/>
          </w:p>
        </w:tc>
      </w:tr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11067" w:type="dxa"/>
            <w:gridSpan w:val="6"/>
            <w:shd w:val="clear" w:color="auto" w:fill="FFFFFF"/>
            <w:vAlign w:val="bottom"/>
          </w:tcPr>
          <w:p w:rsidR="000064CB" w:rsidRPr="008128FD" w:rsidRDefault="00000000">
            <w:pPr>
              <w:spacing w:before="5" w:after="15"/>
              <w:ind w:left="30" w:right="40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Dependent</w:t>
            </w:r>
            <w:proofErr w:type="spellEnd"/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 xml:space="preserve"> Variable: Alter</w:t>
            </w:r>
          </w:p>
        </w:tc>
      </w:tr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11067" w:type="dxa"/>
            <w:gridSpan w:val="6"/>
            <w:shd w:val="clear" w:color="auto" w:fill="FFFFFF"/>
            <w:vAlign w:val="bottom"/>
          </w:tcPr>
          <w:p w:rsidR="000064CB" w:rsidRPr="008128FD" w:rsidRDefault="00000000">
            <w:pPr>
              <w:spacing w:before="5" w:after="15"/>
              <w:ind w:left="30" w:right="40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Bonferroni</w:t>
            </w:r>
            <w:proofErr w:type="spellEnd"/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5" w:after="5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(I)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Clustereintailung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, nicht standardisierte Werte für Dis-Matrix</w:t>
            </w:r>
          </w:p>
        </w:tc>
        <w:tc>
          <w:tcPr>
            <w:tcW w:w="2788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5" w:after="5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(J)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Clustereintailung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, nicht standardisierte Werte für Dis-Matrix</w:t>
            </w:r>
          </w:p>
        </w:tc>
        <w:tc>
          <w:tcPr>
            <w:tcW w:w="166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Mean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Difference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(I-J)</w:t>
            </w:r>
          </w:p>
        </w:tc>
        <w:tc>
          <w:tcPr>
            <w:tcW w:w="117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.</w:t>
            </w:r>
          </w:p>
        </w:tc>
        <w:tc>
          <w:tcPr>
            <w:tcW w:w="149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95% Confidence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</w:t>
            </w:r>
            <w:proofErr w:type="spellEnd"/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none" w:sz="1" w:space="0" w:color="152935"/>
              <w:left w:val="none" w:sz="1" w:space="0" w:color="152935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66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17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Lower Bound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1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2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5.903</w:t>
            </w:r>
            <w:r w:rsidRPr="008128FD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1.209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49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3.00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3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1.432</w:t>
            </w:r>
          </w:p>
        </w:tc>
        <w:tc>
          <w:tcPr>
            <w:tcW w:w="117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1.204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149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-1.46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2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1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-5.903</w:t>
            </w:r>
            <w:r w:rsidRPr="008128FD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1.209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49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-8.80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3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-4.472</w:t>
            </w:r>
            <w:r w:rsidRPr="008128FD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1.073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49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-7.05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3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1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-1.432</w:t>
            </w:r>
          </w:p>
        </w:tc>
        <w:tc>
          <w:tcPr>
            <w:tcW w:w="117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1.204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149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-4.32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2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4.472</w:t>
            </w:r>
            <w:r w:rsidRPr="008128FD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1.073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49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1.90</w:t>
            </w:r>
          </w:p>
        </w:tc>
      </w:tr>
    </w:tbl>
    <w:p w:rsidR="000064CB" w:rsidRDefault="000064C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2788"/>
        <w:gridCol w:w="1530"/>
        <w:gridCol w:w="136"/>
        <w:gridCol w:w="1173"/>
        <w:gridCol w:w="1156"/>
        <w:gridCol w:w="1496"/>
      </w:tblGrid>
      <w:tr w:rsidR="008128FD" w:rsidRPr="008128FD" w:rsidT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7106" w:type="dxa"/>
            <w:gridSpan w:val="3"/>
            <w:shd w:val="clear" w:color="auto" w:fill="FFFFFF"/>
            <w:vAlign w:val="center"/>
          </w:tcPr>
          <w:p w:rsidR="000064CB" w:rsidRPr="008128FD" w:rsidRDefault="00000000">
            <w:pPr>
              <w:spacing w:before="5" w:after="3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 xml:space="preserve">Multiple </w:t>
            </w:r>
            <w:proofErr w:type="spellStart"/>
            <w:r w:rsidRPr="008128FD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>Comparisons</w:t>
            </w:r>
            <w:proofErr w:type="spellEnd"/>
          </w:p>
        </w:tc>
      </w:tr>
      <w:tr w:rsidR="008128FD" w:rsidRPr="008128FD" w:rsidT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7106" w:type="dxa"/>
            <w:gridSpan w:val="3"/>
            <w:shd w:val="clear" w:color="auto" w:fill="FFFFFF"/>
            <w:vAlign w:val="bottom"/>
          </w:tcPr>
          <w:p w:rsidR="000064CB" w:rsidRPr="008128FD" w:rsidRDefault="00000000">
            <w:pPr>
              <w:spacing w:before="5" w:after="15"/>
              <w:ind w:left="30" w:right="40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Dependent</w:t>
            </w:r>
            <w:proofErr w:type="spellEnd"/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 xml:space="preserve"> Variable: Alter</w:t>
            </w:r>
          </w:p>
        </w:tc>
      </w:tr>
      <w:tr w:rsidR="008128FD" w:rsidRPr="008128FD" w:rsidT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7106" w:type="dxa"/>
            <w:gridSpan w:val="3"/>
            <w:shd w:val="clear" w:color="auto" w:fill="FFFFFF"/>
            <w:vAlign w:val="bottom"/>
          </w:tcPr>
          <w:p w:rsidR="000064CB" w:rsidRPr="008128FD" w:rsidRDefault="00000000">
            <w:pPr>
              <w:spacing w:before="5" w:after="15"/>
              <w:ind w:left="30" w:right="40"/>
              <w:rPr>
                <w:sz w:val="18"/>
                <w:szCs w:val="18"/>
              </w:rPr>
            </w:pPr>
            <w:proofErr w:type="spellStart"/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Bonferroni</w:t>
            </w:r>
            <w:proofErr w:type="spellEnd"/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2788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5" w:after="5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(I)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Clustereintailung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, nicht standardisierte Werte für Dis-Matrix</w:t>
            </w:r>
          </w:p>
        </w:tc>
        <w:tc>
          <w:tcPr>
            <w:tcW w:w="2788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5" w:after="5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(J)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Clustereintailung</w:t>
            </w:r>
            <w:proofErr w:type="spellEnd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, nicht standardisierte Werte für Dis-Matrix</w:t>
            </w:r>
          </w:p>
        </w:tc>
        <w:tc>
          <w:tcPr>
            <w:tcW w:w="1530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95% Confidence </w:t>
            </w:r>
            <w:proofErr w:type="spellStart"/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</w:t>
            </w:r>
            <w:proofErr w:type="spellEnd"/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2788" w:type="dxa"/>
            <w:vMerge/>
            <w:tcBorders>
              <w:top w:val="none" w:sz="1" w:space="0" w:color="152935"/>
              <w:left w:val="none" w:sz="1" w:space="0" w:color="152935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0064CB" w:rsidRPr="008128FD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2788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1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2</w:t>
            </w:r>
          </w:p>
        </w:tc>
        <w:tc>
          <w:tcPr>
            <w:tcW w:w="153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8.80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3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4.32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2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1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-3.00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3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-1.90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3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1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1.46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rPr>
          <w:gridAfter w:val="4"/>
          <w:wAfter w:w="3961" w:type="dxa"/>
        </w:trPr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0064CB" w:rsidRPr="008128FD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264A60"/>
                <w:sz w:val="18"/>
                <w:szCs w:val="18"/>
              </w:rPr>
              <w:t>Cluster 2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0064CB" w:rsidRPr="008128FD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8128FD">
              <w:rPr>
                <w:rFonts w:ascii="Arial" w:eastAsia="Arial" w:hAnsi="Arial" w:cs="Arial"/>
                <w:color w:val="010205"/>
                <w:sz w:val="18"/>
                <w:szCs w:val="18"/>
              </w:rPr>
              <w:t>7.05</w:t>
            </w:r>
          </w:p>
        </w:tc>
      </w:tr>
      <w:tr w:rsidR="000064CB" w:rsidRPr="008128FD">
        <w:tblPrEx>
          <w:tblCellMar>
            <w:top w:w="0" w:type="dxa"/>
            <w:bottom w:w="0" w:type="dxa"/>
          </w:tblCellMar>
        </w:tblPrEx>
        <w:tc>
          <w:tcPr>
            <w:tcW w:w="2788" w:type="dxa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2788" w:type="dxa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666" w:type="dxa"/>
            <w:gridSpan w:val="2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173" w:type="dxa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:rsidR="000064CB" w:rsidRPr="008128FD" w:rsidRDefault="000064CB">
            <w:pPr>
              <w:rPr>
                <w:sz w:val="18"/>
                <w:szCs w:val="18"/>
              </w:rPr>
            </w:pPr>
          </w:p>
        </w:tc>
      </w:tr>
    </w:tbl>
    <w:p w:rsidR="000064CB" w:rsidRDefault="000064C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6"/>
      </w:tblGrid>
      <w:tr w:rsidR="008128FD" w:rsidRPr="008128FD" w:rsidTr="008128FD">
        <w:tblPrEx>
          <w:tblCellMar>
            <w:top w:w="0" w:type="dxa"/>
            <w:bottom w:w="0" w:type="dxa"/>
          </w:tblCellMar>
        </w:tblPrEx>
        <w:tc>
          <w:tcPr>
            <w:tcW w:w="7106" w:type="dxa"/>
            <w:shd w:val="clear" w:color="auto" w:fill="FFFFFF"/>
          </w:tcPr>
          <w:p w:rsidR="000064CB" w:rsidRPr="008128FD" w:rsidRDefault="00000000">
            <w:pPr>
              <w:rPr>
                <w:lang w:val="en-US"/>
              </w:rPr>
            </w:pPr>
            <w:r w:rsidRPr="008128FD">
              <w:rPr>
                <w:rFonts w:ascii="Arial" w:eastAsia="Arial" w:hAnsi="Arial" w:cs="Arial"/>
                <w:color w:val="010205"/>
                <w:lang w:val="en-US"/>
              </w:rPr>
              <w:t>*. The mean difference is significant at the 0.05 level.</w:t>
            </w:r>
          </w:p>
        </w:tc>
      </w:tr>
    </w:tbl>
    <w:p w:rsidR="009E2DF0" w:rsidRPr="008128FD" w:rsidRDefault="009E2DF0">
      <w:pPr>
        <w:rPr>
          <w:lang w:val="en-US"/>
        </w:rPr>
      </w:pPr>
    </w:p>
    <w:sectPr w:rsidR="009E2DF0" w:rsidRPr="008128FD">
      <w:pgSz w:w="11900" w:h="16840"/>
      <w:pgMar w:top="360" w:right="360" w:bottom="819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4CB"/>
    <w:rsid w:val="000064CB"/>
    <w:rsid w:val="008128FD"/>
    <w:rsid w:val="009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10861"/>
  <w15:docId w15:val="{A2F15E08-AB61-B446-89FC-34607824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Julia Pfarr</cp:lastModifiedBy>
  <cp:revision>2</cp:revision>
  <dcterms:created xsi:type="dcterms:W3CDTF">2023-06-13T13:02:00Z</dcterms:created>
  <dcterms:modified xsi:type="dcterms:W3CDTF">2023-06-13T13:05:00Z</dcterms:modified>
</cp:coreProperties>
</file>