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DOSSIÊ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Pesquisa: Gêmeos Digitais na Web com Unity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left w:color="2e75b6" w:space="0" w:sz="18" w:val="single"/>
        </w:pBdr>
        <w:spacing w:after="120" w:before="0" w:lineRule="auto"/>
        <w:ind w:left="24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Estrutura do Dossiê</w:t>
      </w:r>
    </w:p>
    <w:p w:rsidR="00000000" w:rsidDel="00000000" w:rsidP="00000000" w:rsidRDefault="00000000" w:rsidRPr="00000000" w14:paraId="00000005">
      <w:pPr>
        <w:spacing w:after="50" w:before="50" w:lineRule="auto"/>
        <w:ind w:left="4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Pipeline da Pesquisa</w:t>
      </w:r>
    </w:p>
    <w:p w:rsidR="00000000" w:rsidDel="00000000" w:rsidP="00000000" w:rsidRDefault="00000000" w:rsidRPr="00000000" w14:paraId="00000006">
      <w:pPr>
        <w:spacing w:after="50" w:before="50" w:lineRule="auto"/>
        <w:ind w:left="4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Corpus e Cobertura</w:t>
      </w:r>
    </w:p>
    <w:p w:rsidR="00000000" w:rsidDel="00000000" w:rsidP="00000000" w:rsidRDefault="00000000" w:rsidRPr="00000000" w14:paraId="00000007">
      <w:pPr>
        <w:spacing w:after="50" w:before="50" w:lineRule="auto"/>
        <w:ind w:left="4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Panorama Tecnológico: Repositórios GitHub</w:t>
      </w:r>
    </w:p>
    <w:p w:rsidR="00000000" w:rsidDel="00000000" w:rsidP="00000000" w:rsidRDefault="00000000" w:rsidRPr="00000000" w14:paraId="00000008">
      <w:pPr>
        <w:spacing w:after="50" w:before="50" w:lineRule="auto"/>
        <w:ind w:left="4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Panorama Tecnológico:  Artigos Científicos</w:t>
      </w:r>
    </w:p>
    <w:p w:rsidR="00000000" w:rsidDel="00000000" w:rsidP="00000000" w:rsidRDefault="00000000" w:rsidRPr="00000000" w14:paraId="00000009">
      <w:pPr>
        <w:spacing w:after="50" w:before="50" w:lineRule="auto"/>
        <w:ind w:left="4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Interseção Academia + Prática: enriquecimento</w:t>
      </w:r>
    </w:p>
    <w:p w:rsidR="00000000" w:rsidDel="00000000" w:rsidP="00000000" w:rsidRDefault="00000000" w:rsidRPr="00000000" w14:paraId="0000000A">
      <w:pPr>
        <w:spacing w:after="50" w:before="50" w:lineRule="auto"/>
        <w:ind w:left="4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Recomendações de Stack</w:t>
      </w:r>
    </w:p>
    <w:p w:rsidR="00000000" w:rsidDel="00000000" w:rsidP="00000000" w:rsidRDefault="00000000" w:rsidRPr="00000000" w14:paraId="0000000B">
      <w:pPr>
        <w:spacing w:after="50" w:before="50" w:lineRule="auto"/>
        <w:ind w:left="4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Considerações para a Fase 2</w:t>
      </w:r>
    </w:p>
    <w:p w:rsidR="00000000" w:rsidDel="00000000" w:rsidP="00000000" w:rsidRDefault="00000000" w:rsidRPr="00000000" w14:paraId="0000000C">
      <w:pPr>
        <w:spacing w:after="50" w:before="50" w:lineRule="auto"/>
        <w:ind w:left="4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Alertas Metodológicos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4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1. Pipeline da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seção documenta o método empregado para mapear o estado da arte e da prática em gêmeos digitais na web com Unity Engine, cobrindo as duas fases do projeto (dados históricos e futura integração em tempo real).</w:t>
      </w:r>
    </w:p>
    <w:p w:rsidR="00000000" w:rsidDel="00000000" w:rsidP="00000000" w:rsidRDefault="00000000" w:rsidRPr="00000000" w14:paraId="00000010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1.1 Fontes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pesquisa combinou duas categorias de fontes complementares: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Artigos Científicos —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Coletados via IEEE Xplore: 250 artigos exportados com título, abstract e DOI.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Repositórios GitHub —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Coletados via GitHub API com termos relacionados a digital twin, Unity WebGL e IoT.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1.2 Etapas do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00"/>
        <w:gridCol w:w="2200"/>
        <w:gridCol w:w="2426"/>
        <w:tblGridChange w:id="0">
          <w:tblGrid>
            <w:gridCol w:w="1700"/>
            <w:gridCol w:w="2700"/>
            <w:gridCol w:w="2200"/>
            <w:gridCol w:w="2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Ferramentas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Etapa 1: 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250 abstracts revisados com ASReview (active learning). 74 analisados, 31 aceitos.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ASReview, IEEE Xplore (.csv)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artigos com DOI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Etapa 2: Obtenção de PDFs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Tentativas: Unpaywall,  Google Scholar,  Sci-Hub. 13 PDFs obtidos dos 31 aceitos.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Unpaywall, scidownl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 PDFs completos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Etapa 3: Extração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 PDFs analisados via NotebookLM com roteiro de 10 perguntas padronizadas.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NotebookLM, planilha 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 artigos extraídos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Etapa 4: Repositórios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472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repositórios coletados via GitHub API. Extração TF-IDF de termos por categoria.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API, pandas, scikit-learn, plotly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Gráficos + notebook Colab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Etapa 5: Cruzamento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Interseção entre artigos e repositórios. Tecnologias presentes em ambas as fontes constituem o núcleo mais confiável.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pandas, 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Tabela de interseção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1.3 Perguntas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Seis blocos temáticos orientaram a coleta e a análise: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Visualização Web com Unity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WebGL, WebAssembly, integração com frameworks frontend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Arquitetura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sdt>
        <w:sdtPr>
          <w:id w:val="85315908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padrões, separação de camadas, transição histórico → tempo real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Backend e Linguagens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frequência, suporte a séries temporais, relação com Unity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Protocolos de Comunicação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frontend–backend e sensor–servidor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Dados e Persistência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bancos históricos e séries temporais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Mercado e Maturidade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plataformas consolidadas, emergências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4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2. Corpus e Cobertura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2.1 Artigos Científicos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763"/>
        <w:gridCol w:w="2763"/>
        <w:tblGridChange w:id="0">
          <w:tblGrid>
            <w:gridCol w:w="3500"/>
            <w:gridCol w:w="2763"/>
            <w:gridCol w:w="27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Artigos exportados (IEEE Xplore)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completa de 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Artigos analisados pelo ASReview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74 (29,6%)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Active learning interrompido antes do corpus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Artigos aceitos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31 (41,9% dos analisados)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Passaram nos critérios de inclusão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PDFs obtidos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 (41,9% dos aceitos)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via Unpaywall, Scholar, Sci-Hub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Artigos com extração completa (NotebookLM)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 (61,5% dos obtidos)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Roteiro de 10 perguntas aplicado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a31515" w:space="0" w:sz="14" w:val="single"/>
        </w:pBdr>
        <w:spacing w:after="80" w:before="8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176 artigos (70,4% da base) não foram analisados pelo ASReview — a mitigação com amostra aleatória de 20 artigos não foi realizada. Existe risco de artigos relevantes não capturados, especialmente os de abordagens distintas das aceitas inicialmente.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2.2 Repositórios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263"/>
        <w:gridCol w:w="2263"/>
        <w:tblGridChange w:id="0">
          <w:tblGrid>
            <w:gridCol w:w="4500"/>
            <w:gridCol w:w="2263"/>
            <w:gridCol w:w="2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coletado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relevância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18,6%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 relevância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6,7%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Baixa relevância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44,3%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relevante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30,4%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619500" cy="390525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1 — Distribuição de relevância dos 253 repositórios analisados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20" w:before="4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3. Panorama Tecnológico — Repositórios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Análise de 253 repositórios coletados via GitHub API. Termos extraídos dos READMEs e normalizados com TF-IDF. Os gráficos abaixo apresentam os resultados por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3.1 Top 20 Tecnologias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15000" cy="40005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2 — Top 20 tecnologias identificadas nos repositórios (frequência absoluta)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Destaques: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Unity domina com 55 ocorrências (85,9% dos repos relevantes) — confirma que é a engine padrão no domínio.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C# (Unity) e JavaScript/Node.js empatam em segundo lugar entre as linguagens backend (13 e 13).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HTTP/REST (12 repos) supera WebSocket (4) como protocolo mais comum entre repos — sugere predominância de dados históricos/poll.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WebGL aparece em 9 repos (14,1%), confirmando adoção da abordagem web.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MQTT e OPC-UA surgem em 3 repos cada — indicam presença de casos industriais IoT.</w:t>
      </w:r>
    </w:p>
    <w:p w:rsidR="00000000" w:rsidDel="00000000" w:rsidP="00000000" w:rsidRDefault="00000000" w:rsidRPr="00000000" w14:paraId="00000077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3.2 Word Cloud — Stacks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524500" cy="295275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3 — Word cloud das tecnologias nas stacks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3.3 Tecnologias por Categoria Arquitetural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15000" cy="276225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4 — Tecnologias por categoria nos repositórios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3.4 Linguagens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15000" cy="2238375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5 — Linguagens backend: frequência e proporção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Observações: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C# (Unity) lidera com 13 ocorrências (25,5%) — reflexo do uso de Unity como backend integrado via C#.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JavaScript/Node.js e Python empatam em segundo (8 cada, 15,7%) — as duas opções mais usadas para backends independentes.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Rust aparece em 6 repos (11,8%) — surpreendentemente alto, provável influencia de projetos de alto desempenho/IoT.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3.5 Protocolos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15000" cy="21336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6 — Protocolos frontend (UI–servidor) e sensores/IoT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SSE (Server-Sent Events) domina frontend com 38 ocorrências — amplamente mais usado que WebSocket (4) nesse corpus.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Serial/UART e LoRaWAN empatam no topo dos protocolos de sensores (4 cada), seguidos por MQTT e OPC-UA (3 cada).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3.6 Stacks Tecnológicas Mais Comuns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15000" cy="264795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7 — Top 10 stacks tecnológicas mais comuns nos repositórios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"Digital Twin + Unity Engine" é a stack mais comum (10 repos), sem especificação de protocolo.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Stacks com Robótica/ROS aparecem com frequência — refletem a origem da maioria dos repos, que não é infraestrutura crítica.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Client-Server + OPC-UA + Unity é a stack mais relevante para o contexto industrial do projeto (3 repos).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120" w:before="4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4. Panorama Tecnológico — Artigos Científicos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Base: 8 artigos com extração completa via NotebookLM. Amostra pequena — interpretável como sinal qualitativo, não quantitativo.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c55a11" w:space="0" w:sz="14" w:val="single"/>
        </w:pBdr>
        <w:spacing w:after="80" w:before="8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Com apenas 8 artigos extraídos, os resultados desta seção têm validade qualitativa. Padrões identificados são indicativos, não conclusivos.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4.1 Tecnologias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2200"/>
        <w:gridCol w:w="2826"/>
        <w:tblGridChange w:id="0">
          <w:tblGrid>
            <w:gridCol w:w="2200"/>
            <w:gridCol w:w="1800"/>
            <w:gridCol w:w="2200"/>
            <w:gridCol w:w="2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efefef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Freq. (8 artigos)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Engine de Visualização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Unity WebGL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50% usam Unity na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Three.js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37,5% usam Three.js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Linguagem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Domina como ponte Unity-web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/ 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Protocolo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WebSocket/Socket.IO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Protocolo dominante nos artigos (75%)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 /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Protocolo Sensores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OPC-UA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Principal protocolo industrial nos artigos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 Server /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 TimescaleDB/InfluxDB nos 8 artigos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CPS / Camadas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Cyber-Physical Systems predominante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Plataforma 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Eclipse Ditto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Twinbase (Git-based) também mencionado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4.2 Insights Arquiteturais dos Artigos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Node.js como ponte: repositórios Unity WebGL com OPC-UA usam Node.js como middleware — supera a limitação de bibliotecas OPC-UA ausentes no ambiente WebGL do browser (Artigos 7 e 8).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WebSocket/Socket.IO dominante: 6 dos 8 artigos usam WebSocket para comunicação frontend–backend, diferentemente dos repos GitHub onde SSE predomina.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Arquitetura CPS/camadas: padrão recorrente é separar em camadas Física, Comunicação, Digital e Aplicação.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React como wrapper: Unity WebGL hospedado dentro de aplicação React para dashboards e controles laterais (Artigo 3).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Eclipse Ditto: única plataforma DT mencionada nos artigos analisados — relevante para Fase 2.</w:t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120" w:before="4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5. Interseção Academia +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Tecnologias que aparecem com consistência em ambas as fontes (artigos + repos) representam a camada de maior confiabilidade para recomendações.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13"/>
        <w:gridCol w:w="1513"/>
        <w:gridCol w:w="4000"/>
        <w:tblGridChange w:id="0">
          <w:tblGrid>
            <w:gridCol w:w="2000"/>
            <w:gridCol w:w="1513"/>
            <w:gridCol w:w="1513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Artigos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Unity WebGL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(85,9%)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Confirmação dupla. Principal engine para 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(20,3%)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Backend/ponte para Unity WebGL. Resolve limitações OPC-UA no browser.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WebSocket / 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(75%)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 (6,2%)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Artigos preferem WS; repos usam mais SSE. Ambos válidos para Fase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 /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(18,8%)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Adequado para Fase 1 (dados históricos poll-based).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OPC-UA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(37,5%)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 (4,7%)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Principal protocolo industrial. Crítico para Fase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 (4,7%)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Alternativa leve a OPC-UA para Fase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(12,5%)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Opção válida de backend, especialmente para análise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Three.js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 (37,5%)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Baixa (4,7%)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Alternativa a Unity se WebGL tiver restrições de desempenho.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Eclipse Ditto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Baixa (12,5%)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Presente nos artigos. Plataforma open-source para Fase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before="4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6. Recomendações de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recomendações abaixo estão organizadas por decisão arquitetural. A pesquisa informa as opções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base na pesquisa enviesada para projetos unity +webgl.</w:t>
      </w:r>
    </w:p>
    <w:p w:rsidR="00000000" w:rsidDel="00000000" w:rsidP="00000000" w:rsidRDefault="00000000" w:rsidRPr="00000000" w14:paraId="0000011C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6.1 Visualização Web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26"/>
        <w:tblGridChange w:id="0">
          <w:tblGrid>
            <w:gridCol w:w="2000"/>
            <w:gridCol w:w="35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Trade-offs 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Trade-offs Negativos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Unity WebGL(Recomendada)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Equipe já domina; maior dominância nos repos (85,9%); modelo 3D fiel.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Carregamento pesado (~20-50MB); limitações de memória no browser; sem suporte nativo a OPC-UA.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Three.js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Nativo no browser; leve; mais fácil para dashboards híbridos.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Aprendizado de nova API 3D; fidelidade visual menor que Unity.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6.2 Backend / Middleware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26"/>
        <w:tblGridChange w:id="0">
          <w:tblGrid>
            <w:gridCol w:w="2000"/>
            <w:gridCol w:w="35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Trade-offs 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Trade-offs Negativos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Node.js(Recomendado)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Maior freq. nos artigos com Unity; ecossistema WebSocket/Socket.IO nativo; ponte OPC-UA via biblioteca.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Menos adequado para processamento pesado de dados históricos.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/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Melhor para análise e processamento de séries temporais; grande ecossistema científico.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Menor presença em projetos Unity-web específicos.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C# (.NET)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Nativo para equipes Unity; compartilha linguagem com o frontend 3D.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Menor freq. como backend web independente nos repositórios.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6.3 Protocolo Frontend – Backend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26"/>
        <w:tblGridChange w:id="0">
          <w:tblGrid>
            <w:gridCol w:w="2000"/>
            <w:gridCol w:w="35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Adequado 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REST / HTTP(Fase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históricos: consultas por demanda, paginadas. Simples, cacheável.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adequado para streaming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WebSocket / Socket.IO(Fase 1 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Compatível com histórico e tempo real. Dominante nos artigos. Mais flexível.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Maior complexidade de gerenciamento de conexões.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SSE(Fase 1 alternativa)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</w:rPr>
            </w:pPr>
            <w:sdt>
              <w:sdtPr>
                <w:id w:val="177196306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Unidirecional servidor→cliente; muito comum nos repos; simples.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suporta envio do cliente (apenas leitura).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pStyle w:val="Heading2"/>
        <w:pBdr>
          <w:bottom w:color="2e75b6" w:space="0" w:sz="4" w:val="single"/>
        </w:pBdr>
        <w:spacing w:after="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6.4 Banco de Dados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26"/>
        <w:tblGridChange w:id="0">
          <w:tblGrid>
            <w:gridCol w:w="2000"/>
            <w:gridCol w:w="35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Ponto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Quando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TimescaleDB(Recomendado Fase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Extensão do PostgreSQL para séries temporais. Combina SQL relacional com comppressão temporal.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Quando houver sensores em tempo real (Fase 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PostgreSQL(Fase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Sólido, amplamente conhecido, baixo overhead para dados históricos estáticos.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Fase 1 com dados históricos estruturados.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 Server /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Presentes nos artigos analisados. SQLite para prototipação rápida.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9d3" w:space="0" w:sz="4" w:val="single"/>
              <w:left w:color="c0c9d3" w:space="0" w:sz="4" w:val="single"/>
              <w:bottom w:color="c0c9d3" w:space="0" w:sz="4" w:val="single"/>
              <w:right w:color="c0c9d3" w:space="0" w:sz="4" w:val="single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Protótipo ou quando infraestrutura SQL já existe.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spacing w:after="120" w:before="4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7. Considerações para a Fase 2 (Tempo Real)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decisão arquitetural da Fase 1 condiciona a viabilidade da Fase 2. Os pontos abaixo são críticos para garantir que a stack atual não crie impedimentos futuros.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spacing w:after="6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Protocolo de sensor: planejar OPC-UA desde a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OPC-UA é o protocolo industrial dominante nos artigos científicos (37,5%) e presente nos repos relevantes. A integração de OPC-UA com Unity WebGL requer um middleware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spacing w:after="6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Banco de dados: PostgreSQL na Fase 1, TimescaleDB na 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TimescaleDB é extensão do PostgreSQL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migrar de PostgreSQL para TimescaleDB é uma operação de baixo impacto. Usar PostgreSQL na Fase 1 prepara o caminho.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spacing w:after="6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Arquitetura: separar camadas desde o 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Padrão CPS/camadas dominante nos artigos. A separação entre camada de visualização (Unity), camada de dados (backend/API) e camada de persistência (banco) permite substituir cada camada sem reescrever as demais.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spacing w:after="6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Plataforma DT: Eclipse Ditto para 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Eclipse Ditto é a plataforma open-source mais mencionada nos artigos. Implementa o padrão de Digital Twins via HTTP/WebSocket com modelo de "things" e "features". Compatível com MQTT e OPC-UA. Pode ser integrado na Fase 2 sem substituir a visualização Unity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spacing w:after="6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Segurança: considerar desde a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Barragem é infraestrutura crítica. OAuth2/JWT para autenticação e o princípio de Golden Thread (rastreabilidade completa dos dados desde o sensor) devem ser considerados na arquitetura desde a Fase 1, mesmo que implementados gradualmente.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spacing w:after="120" w:before="4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8. Alertas Metodológicos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spacing w:after="6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Amostragem incompleta do ASReview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176 artigos (70,4% da base) não foram triados. A mitigação prevista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amostrar 20 artigos aleatórios dos não analisados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foi executada. Risco: abordagens distintas das aceitas inicialmente podem ter sido depriorizadas pelo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c55a11" w:space="0" w:sz="14" w:val="single"/>
        </w:pBdr>
        <w:spacing w:after="80" w:before="8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Recomenda-se realizar a amostragem aleatória antes de fechar as recomendações finais de stack, especialmente para os blocos de banco de dados e arquitetura.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spacing w:after="6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Pequena amostra de artigos extraídos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Apenas 8 artigos passaram por extração completa. Os resultados da Seção 4 são qualitativos e indicativos. Para conclusões quantitativas sobre artigos científicos seria necessário extrair os 31 aceitos.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6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Viés do dicionário de termos nos repos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dicionário define o que é encontrado nos READMEs. Tecnologias não listadas são invisíveis. Uma construção indutiva (extração de n-gramas sem filtro prévio) poderia revelar tecnologias não antecipadas.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spacing w:after="6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Domínio dos repositórios: robótica, não infraestrutura 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maioria dos repos relevantes envolve robótica/ROS, não barragens ou infraestrutura crítica. Padrões arquiteturais desses domínios podem diferir dos requeridos para um vertedouro industrial. A interseção com os artigos é o filtro mais relevante para o contexto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55a11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6.jpg"/><Relationship Id="rId13" Type="http://schemas.openxmlformats.org/officeDocument/2006/relationships/image" Target="media/image5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4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yJxvgGydhzKdj1nszwpW+8qKg==">CgMxLjAaJAoBMBIfCh0IB0IZCgVBcmlhbBIQQXJpYWwgVW5pY29kZSBNUxokCgExEh8KHQgHQhkKBUFyaWFsEhBBcmlhbCBVbmljb2RlIE1TOAByITEtSHR5TWYyMUkzSFFMT1liYTg4WGxrdW1sQWNPQkFMWA==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