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B550" w14:textId="1CCC608A" w:rsidR="00565E89" w:rsidRPr="00135DBD" w:rsidRDefault="00537A68" w:rsidP="00135DBD">
      <w:pPr>
        <w:jc w:val="center"/>
        <w:rPr>
          <w:rFonts w:ascii="Times New Roman" w:hAnsi="Times New Roman" w:cs="Times New Roman"/>
          <w:b/>
          <w:sz w:val="32"/>
          <w:szCs w:val="32"/>
        </w:rPr>
      </w:pPr>
      <w:r w:rsidRPr="00135DBD">
        <w:rPr>
          <w:rFonts w:ascii="Times New Roman" w:hAnsi="Times New Roman" w:cs="Times New Roman"/>
          <w:b/>
          <w:sz w:val="32"/>
          <w:szCs w:val="32"/>
        </w:rPr>
        <w:t>To Foul o</w:t>
      </w:r>
      <w:r w:rsidR="00135DBD" w:rsidRPr="00135DBD">
        <w:rPr>
          <w:rFonts w:ascii="Times New Roman" w:hAnsi="Times New Roman" w:cs="Times New Roman"/>
          <w:b/>
          <w:sz w:val="32"/>
          <w:szCs w:val="32"/>
        </w:rPr>
        <w:t>r Not to Foul</w:t>
      </w:r>
    </w:p>
    <w:p w14:paraId="3042517D" w14:textId="43B9E15E" w:rsidR="005A5663" w:rsidRDefault="00135DBD">
      <w:pPr>
        <w:rPr>
          <w:rFonts w:ascii="Times New Roman" w:hAnsi="Times New Roman" w:cs="Times New Roman"/>
          <w:bCs/>
        </w:rPr>
      </w:pPr>
      <w:r>
        <w:rPr>
          <w:rFonts w:ascii="Times New Roman" w:hAnsi="Times New Roman" w:cs="Times New Roman"/>
          <w:bCs/>
        </w:rPr>
        <w:tab/>
        <w:t>My first impression given the situation of winning by 3, shot clock off, less than 24 seconds left in the game in the 4</w:t>
      </w:r>
      <w:r w:rsidRPr="00135DBD">
        <w:rPr>
          <w:rFonts w:ascii="Times New Roman" w:hAnsi="Times New Roman" w:cs="Times New Roman"/>
          <w:bCs/>
          <w:vertAlign w:val="superscript"/>
        </w:rPr>
        <w:t>th</w:t>
      </w:r>
      <w:r>
        <w:rPr>
          <w:rFonts w:ascii="Times New Roman" w:hAnsi="Times New Roman" w:cs="Times New Roman"/>
          <w:bCs/>
        </w:rPr>
        <w:t xml:space="preserve"> quarter on defense is to NOT foul the other team. Looking at this situation, </w:t>
      </w:r>
      <w:r w:rsidR="001D0F4B">
        <w:rPr>
          <w:rFonts w:ascii="Times New Roman" w:hAnsi="Times New Roman" w:cs="Times New Roman"/>
          <w:bCs/>
        </w:rPr>
        <w:t xml:space="preserve">the only opportunity for the team on offense to win in one possession is to make a 3 </w:t>
      </w:r>
      <w:r w:rsidR="001D0F4B">
        <w:rPr>
          <w:rFonts w:ascii="Times New Roman" w:hAnsi="Times New Roman" w:cs="Times New Roman"/>
          <w:bCs/>
          <w:i/>
          <w:iCs/>
        </w:rPr>
        <w:t xml:space="preserve">and </w:t>
      </w:r>
      <w:r w:rsidR="001D0F4B">
        <w:rPr>
          <w:rFonts w:ascii="Times New Roman" w:hAnsi="Times New Roman" w:cs="Times New Roman"/>
          <w:bCs/>
        </w:rPr>
        <w:t xml:space="preserve">be fouled, so an easy way to avoid that situation is to not give the other team to score additional points after the play. </w:t>
      </w:r>
      <w:proofErr w:type="gramStart"/>
      <w:r w:rsidR="001D0F4B">
        <w:rPr>
          <w:rFonts w:ascii="Times New Roman" w:hAnsi="Times New Roman" w:cs="Times New Roman"/>
          <w:bCs/>
        </w:rPr>
        <w:t xml:space="preserve">Looking further, </w:t>
      </w:r>
      <w:r w:rsidR="005A5663">
        <w:rPr>
          <w:rFonts w:ascii="Times New Roman" w:hAnsi="Times New Roman" w:cs="Times New Roman"/>
          <w:bCs/>
        </w:rPr>
        <w:t>here</w:t>
      </w:r>
      <w:proofErr w:type="gramEnd"/>
      <w:r w:rsidR="005A5663">
        <w:rPr>
          <w:rFonts w:ascii="Times New Roman" w:hAnsi="Times New Roman" w:cs="Times New Roman"/>
          <w:bCs/>
        </w:rPr>
        <w:t xml:space="preserve"> are some key stats that give an impression of the dataset:</w:t>
      </w:r>
    </w:p>
    <w:p w14:paraId="6D297AEE" w14:textId="0D630EEB" w:rsidR="005A5663" w:rsidRDefault="00BB3791" w:rsidP="005A5663">
      <w:pPr>
        <w:pStyle w:val="ListParagraph"/>
        <w:numPr>
          <w:ilvl w:val="0"/>
          <w:numId w:val="1"/>
        </w:numPr>
        <w:rPr>
          <w:rFonts w:ascii="Times New Roman" w:hAnsi="Times New Roman" w:cs="Times New Roman"/>
          <w:bCs/>
        </w:rPr>
      </w:pPr>
      <w:r>
        <w:rPr>
          <w:rFonts w:ascii="Times New Roman" w:hAnsi="Times New Roman" w:cs="Times New Roman"/>
          <w:bCs/>
        </w:rPr>
        <w:t>I</w:t>
      </w:r>
      <w:r w:rsidR="001D0F4B" w:rsidRPr="005A5663">
        <w:rPr>
          <w:rFonts w:ascii="Times New Roman" w:hAnsi="Times New Roman" w:cs="Times New Roman"/>
          <w:bCs/>
        </w:rPr>
        <w:t>gnoring all other factors, the defense won 90% of the time</w:t>
      </w:r>
    </w:p>
    <w:p w14:paraId="3E6EF6DC" w14:textId="3448ED7F" w:rsidR="005A5663" w:rsidRDefault="001D0F4B" w:rsidP="005A5663">
      <w:pPr>
        <w:pStyle w:val="ListParagraph"/>
        <w:numPr>
          <w:ilvl w:val="0"/>
          <w:numId w:val="1"/>
        </w:numPr>
        <w:rPr>
          <w:rFonts w:ascii="Times New Roman" w:hAnsi="Times New Roman" w:cs="Times New Roman"/>
          <w:bCs/>
        </w:rPr>
      </w:pPr>
      <w:r w:rsidRPr="005A5663">
        <w:rPr>
          <w:rFonts w:ascii="Times New Roman" w:hAnsi="Times New Roman" w:cs="Times New Roman"/>
          <w:bCs/>
        </w:rPr>
        <w:t xml:space="preserve">Out of these instances, the defense </w:t>
      </w:r>
      <w:r w:rsidR="00BB3791">
        <w:rPr>
          <w:rFonts w:ascii="Times New Roman" w:hAnsi="Times New Roman" w:cs="Times New Roman"/>
          <w:bCs/>
        </w:rPr>
        <w:t>avoided fouling the other team 82% of the time</w:t>
      </w:r>
    </w:p>
    <w:p w14:paraId="42CB9AED" w14:textId="375E1E7E" w:rsidR="005A5663" w:rsidRDefault="00BB3791" w:rsidP="005A5663">
      <w:pPr>
        <w:pStyle w:val="ListParagraph"/>
        <w:numPr>
          <w:ilvl w:val="0"/>
          <w:numId w:val="1"/>
        </w:numPr>
        <w:rPr>
          <w:rFonts w:ascii="Times New Roman" w:hAnsi="Times New Roman" w:cs="Times New Roman"/>
          <w:bCs/>
        </w:rPr>
      </w:pPr>
      <w:r>
        <w:rPr>
          <w:rFonts w:ascii="Times New Roman" w:hAnsi="Times New Roman" w:cs="Times New Roman"/>
          <w:bCs/>
        </w:rPr>
        <w:t>W</w:t>
      </w:r>
      <w:r w:rsidR="001D0F4B" w:rsidRPr="005A5663">
        <w:rPr>
          <w:rFonts w:ascii="Times New Roman" w:hAnsi="Times New Roman" w:cs="Times New Roman"/>
          <w:bCs/>
        </w:rPr>
        <w:t xml:space="preserve">here the team initially on defense did </w:t>
      </w:r>
      <w:commentRangeStart w:id="0"/>
      <w:r w:rsidR="001D0F4B" w:rsidRPr="005A5663">
        <w:rPr>
          <w:rFonts w:ascii="Times New Roman" w:hAnsi="Times New Roman" w:cs="Times New Roman"/>
          <w:bCs/>
        </w:rPr>
        <w:t>end</w:t>
      </w:r>
      <w:commentRangeEnd w:id="0"/>
      <w:r w:rsidR="009A7AAA">
        <w:rPr>
          <w:rStyle w:val="CommentReference"/>
        </w:rPr>
        <w:commentReference w:id="0"/>
      </w:r>
      <w:r w:rsidR="001D0F4B" w:rsidRPr="005A5663">
        <w:rPr>
          <w:rFonts w:ascii="Times New Roman" w:hAnsi="Times New Roman" w:cs="Times New Roman"/>
          <w:bCs/>
        </w:rPr>
        <w:t xml:space="preserve"> up losing the game</w:t>
      </w:r>
      <w:r>
        <w:rPr>
          <w:rFonts w:ascii="Times New Roman" w:hAnsi="Times New Roman" w:cs="Times New Roman"/>
          <w:bCs/>
        </w:rPr>
        <w:t xml:space="preserve"> (40)</w:t>
      </w:r>
      <w:r w:rsidR="001D0F4B" w:rsidRPr="005A5663">
        <w:rPr>
          <w:rFonts w:ascii="Times New Roman" w:hAnsi="Times New Roman" w:cs="Times New Roman"/>
          <w:bCs/>
        </w:rPr>
        <w:t xml:space="preserve">, fouls were committed </w:t>
      </w:r>
      <w:r>
        <w:rPr>
          <w:rFonts w:ascii="Times New Roman" w:hAnsi="Times New Roman" w:cs="Times New Roman"/>
          <w:bCs/>
        </w:rPr>
        <w:t xml:space="preserve">in </w:t>
      </w:r>
      <w:r w:rsidR="001D0F4B" w:rsidRPr="005A5663">
        <w:rPr>
          <w:rFonts w:ascii="Times New Roman" w:hAnsi="Times New Roman" w:cs="Times New Roman"/>
          <w:bCs/>
        </w:rPr>
        <w:t xml:space="preserve">only </w:t>
      </w:r>
      <w:r>
        <w:rPr>
          <w:rFonts w:ascii="Times New Roman" w:hAnsi="Times New Roman" w:cs="Times New Roman"/>
          <w:bCs/>
        </w:rPr>
        <w:t>7 games</w:t>
      </w:r>
    </w:p>
    <w:p w14:paraId="75BCC951" w14:textId="18E76148" w:rsidR="00BB3791" w:rsidRDefault="00BB3791" w:rsidP="005A5663">
      <w:pPr>
        <w:pStyle w:val="ListParagraph"/>
        <w:numPr>
          <w:ilvl w:val="0"/>
          <w:numId w:val="1"/>
        </w:numPr>
        <w:rPr>
          <w:rFonts w:ascii="Times New Roman" w:hAnsi="Times New Roman" w:cs="Times New Roman"/>
          <w:bCs/>
        </w:rPr>
      </w:pPr>
      <w:r>
        <w:rPr>
          <w:rFonts w:ascii="Times New Roman" w:hAnsi="Times New Roman" w:cs="Times New Roman"/>
          <w:bCs/>
        </w:rPr>
        <w:t>L</w:t>
      </w:r>
      <w:r w:rsidR="009A7AAA" w:rsidRPr="005A5663">
        <w:rPr>
          <w:rFonts w:ascii="Times New Roman" w:hAnsi="Times New Roman" w:cs="Times New Roman"/>
          <w:bCs/>
        </w:rPr>
        <w:t xml:space="preserve">ooking just at instances where defense does foul </w:t>
      </w:r>
      <w:r>
        <w:rPr>
          <w:rFonts w:ascii="Times New Roman" w:hAnsi="Times New Roman" w:cs="Times New Roman"/>
          <w:bCs/>
        </w:rPr>
        <w:t>(</w:t>
      </w:r>
      <w:r w:rsidR="009A7AAA" w:rsidRPr="005A5663">
        <w:rPr>
          <w:rFonts w:ascii="Times New Roman" w:hAnsi="Times New Roman" w:cs="Times New Roman"/>
          <w:bCs/>
        </w:rPr>
        <w:t xml:space="preserve">18% of the time/ 72 games), they win the game 90% of the time. </w:t>
      </w:r>
    </w:p>
    <w:p w14:paraId="0724F351" w14:textId="49F08B84" w:rsidR="00EE0A7F" w:rsidRPr="00BB3791" w:rsidRDefault="009A7AAA" w:rsidP="00BB3791">
      <w:pPr>
        <w:rPr>
          <w:rFonts w:ascii="Times New Roman" w:hAnsi="Times New Roman" w:cs="Times New Roman"/>
          <w:bCs/>
        </w:rPr>
      </w:pPr>
      <w:r w:rsidRPr="00BB3791">
        <w:rPr>
          <w:rFonts w:ascii="Times New Roman" w:hAnsi="Times New Roman" w:cs="Times New Roman"/>
          <w:bCs/>
        </w:rPr>
        <w:t>The consistency in these rates suggests that fouling is not very indicative of the outcome of the game.</w:t>
      </w:r>
      <w:r w:rsidR="00BB3791">
        <w:rPr>
          <w:rFonts w:ascii="Times New Roman" w:hAnsi="Times New Roman" w:cs="Times New Roman"/>
          <w:bCs/>
        </w:rPr>
        <w:t xml:space="preserve"> There are likely other variables relevant to game outcome that would help predict the winner in addition to fouling.</w:t>
      </w:r>
    </w:p>
    <w:p w14:paraId="1C2A547D" w14:textId="77777777" w:rsidR="00323162" w:rsidRDefault="00323162">
      <w:pPr>
        <w:rPr>
          <w:rFonts w:ascii="Times New Roman" w:hAnsi="Times New Roman" w:cs="Times New Roman"/>
          <w:bCs/>
        </w:rPr>
      </w:pPr>
    </w:p>
    <w:p w14:paraId="017346BE" w14:textId="43725B94" w:rsidR="001D0F4B" w:rsidRPr="001D0F4B" w:rsidRDefault="00CE35BA" w:rsidP="00323162">
      <w:pPr>
        <w:jc w:val="center"/>
        <w:rPr>
          <w:rFonts w:ascii="Times New Roman" w:hAnsi="Times New Roman" w:cs="Times New Roman"/>
          <w:bCs/>
        </w:rPr>
      </w:pPr>
      <w:r w:rsidRPr="00CE35BA">
        <w:rPr>
          <w:rFonts w:ascii="Times New Roman" w:hAnsi="Times New Roman" w:cs="Times New Roman"/>
          <w:bCs/>
          <w:noProof/>
        </w:rPr>
        <w:drawing>
          <wp:inline distT="0" distB="0" distL="0" distR="0" wp14:anchorId="6A50CBA1" wp14:editId="2F6E66CA">
            <wp:extent cx="2870791" cy="1799765"/>
            <wp:effectExtent l="12700" t="12700" r="12700" b="16510"/>
            <wp:docPr id="1449760506" name="Picture 1" descr="A green circle with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60506" name="Picture 1" descr="A green circle with a number of numbers&#10;&#10;Description automatically generated"/>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2885053" cy="1808706"/>
                    </a:xfrm>
                    <a:prstGeom prst="rect">
                      <a:avLst/>
                    </a:prstGeom>
                    <a:ln>
                      <a:solidFill>
                        <a:schemeClr val="bg1">
                          <a:lumMod val="65000"/>
                        </a:schemeClr>
                      </a:solidFill>
                    </a:ln>
                  </pic:spPr>
                </pic:pic>
              </a:graphicData>
            </a:graphic>
          </wp:inline>
        </w:drawing>
      </w:r>
      <w:r w:rsidR="00323162" w:rsidRPr="00323162">
        <w:rPr>
          <w:rFonts w:ascii="Times New Roman" w:hAnsi="Times New Roman" w:cs="Times New Roman"/>
          <w:bCs/>
          <w:noProof/>
        </w:rPr>
        <w:drawing>
          <wp:inline distT="0" distB="0" distL="0" distR="0" wp14:anchorId="15301CAD" wp14:editId="396A3038">
            <wp:extent cx="2870200" cy="1799394"/>
            <wp:effectExtent l="12700" t="12700" r="12700" b="17145"/>
            <wp:docPr id="674737418" name="Picture 1" descr="A green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37418" name="Picture 1" descr="A green circle with white text&#10;&#10;Description automatically generated"/>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2893738" cy="1814151"/>
                    </a:xfrm>
                    <a:prstGeom prst="rect">
                      <a:avLst/>
                    </a:prstGeom>
                    <a:ln>
                      <a:solidFill>
                        <a:schemeClr val="bg1">
                          <a:lumMod val="65000"/>
                        </a:schemeClr>
                      </a:solidFill>
                    </a:ln>
                  </pic:spPr>
                </pic:pic>
              </a:graphicData>
            </a:graphic>
          </wp:inline>
        </w:drawing>
      </w:r>
    </w:p>
    <w:p w14:paraId="2B418837" w14:textId="77777777" w:rsidR="00323162" w:rsidRDefault="00323162">
      <w:pPr>
        <w:rPr>
          <w:rFonts w:ascii="Times New Roman" w:hAnsi="Times New Roman" w:cs="Times New Roman"/>
          <w:bCs/>
        </w:rPr>
      </w:pPr>
      <w:r>
        <w:rPr>
          <w:rFonts w:ascii="Times New Roman" w:hAnsi="Times New Roman" w:cs="Times New Roman"/>
          <w:bCs/>
        </w:rPr>
        <w:tab/>
      </w:r>
    </w:p>
    <w:p w14:paraId="521E2734" w14:textId="78926434" w:rsidR="00EE0A7F" w:rsidRDefault="00323162" w:rsidP="009A7AAA">
      <w:pPr>
        <w:ind w:firstLine="720"/>
        <w:rPr>
          <w:rFonts w:ascii="Times New Roman" w:hAnsi="Times New Roman" w:cs="Times New Roman"/>
          <w:bCs/>
        </w:rPr>
      </w:pPr>
      <w:r>
        <w:rPr>
          <w:rFonts w:ascii="Times New Roman" w:hAnsi="Times New Roman" w:cs="Times New Roman"/>
          <w:bCs/>
        </w:rPr>
        <w:t>In addition, if preparing for a specific team, I would look to see if certain teams are coming back and winning</w:t>
      </w:r>
      <w:r w:rsidR="009A7AAA">
        <w:rPr>
          <w:rFonts w:ascii="Times New Roman" w:hAnsi="Times New Roman" w:cs="Times New Roman"/>
          <w:bCs/>
        </w:rPr>
        <w:t xml:space="preserve"> more than others. Out of the 40 games that the defensive team ended up losing, here are the opposing teams that won at a rate higher than average:</w:t>
      </w:r>
    </w:p>
    <w:tbl>
      <w:tblPr>
        <w:tblStyle w:val="TableGrid"/>
        <w:tblW w:w="0" w:type="auto"/>
        <w:jc w:val="center"/>
        <w:tblLook w:val="04A0" w:firstRow="1" w:lastRow="0" w:firstColumn="1" w:lastColumn="0" w:noHBand="0" w:noVBand="1"/>
      </w:tblPr>
      <w:tblGrid>
        <w:gridCol w:w="1807"/>
        <w:gridCol w:w="990"/>
        <w:gridCol w:w="991"/>
        <w:gridCol w:w="991"/>
        <w:gridCol w:w="991"/>
        <w:gridCol w:w="991"/>
        <w:gridCol w:w="991"/>
        <w:gridCol w:w="991"/>
      </w:tblGrid>
      <w:tr w:rsidR="00925EF3" w14:paraId="568EE649" w14:textId="77777777" w:rsidTr="00C92F7B">
        <w:trPr>
          <w:trHeight w:val="336"/>
          <w:jc w:val="center"/>
        </w:trPr>
        <w:tc>
          <w:tcPr>
            <w:tcW w:w="1807" w:type="dxa"/>
          </w:tcPr>
          <w:p w14:paraId="129B5C0A" w14:textId="2250DF56" w:rsidR="00925EF3" w:rsidRPr="00925EF3" w:rsidRDefault="00925EF3" w:rsidP="00C92F7B">
            <w:pPr>
              <w:jc w:val="center"/>
              <w:rPr>
                <w:rFonts w:ascii="Times New Roman" w:hAnsi="Times New Roman" w:cs="Times New Roman"/>
                <w:bCs/>
              </w:rPr>
            </w:pPr>
            <w:r>
              <w:rPr>
                <w:rFonts w:ascii="Times New Roman" w:hAnsi="Times New Roman" w:cs="Times New Roman"/>
                <w:b/>
              </w:rPr>
              <w:t>TEAM</w:t>
            </w:r>
          </w:p>
        </w:tc>
        <w:tc>
          <w:tcPr>
            <w:tcW w:w="990" w:type="dxa"/>
          </w:tcPr>
          <w:p w14:paraId="6D26A879" w14:textId="5BC5C3E7" w:rsidR="00925EF3" w:rsidRDefault="00925EF3" w:rsidP="00C92F7B">
            <w:pPr>
              <w:jc w:val="center"/>
              <w:rPr>
                <w:rFonts w:ascii="Times New Roman" w:hAnsi="Times New Roman" w:cs="Times New Roman"/>
                <w:bCs/>
              </w:rPr>
            </w:pPr>
            <w:r>
              <w:rPr>
                <w:rFonts w:ascii="Times New Roman" w:hAnsi="Times New Roman" w:cs="Times New Roman"/>
                <w:bCs/>
              </w:rPr>
              <w:t>DAL</w:t>
            </w:r>
          </w:p>
        </w:tc>
        <w:tc>
          <w:tcPr>
            <w:tcW w:w="991" w:type="dxa"/>
          </w:tcPr>
          <w:p w14:paraId="7F1A16AD" w14:textId="65062B1B" w:rsidR="00925EF3" w:rsidRDefault="00925EF3" w:rsidP="00C92F7B">
            <w:pPr>
              <w:jc w:val="center"/>
              <w:rPr>
                <w:rFonts w:ascii="Times New Roman" w:hAnsi="Times New Roman" w:cs="Times New Roman"/>
                <w:bCs/>
              </w:rPr>
            </w:pPr>
            <w:r>
              <w:rPr>
                <w:rFonts w:ascii="Times New Roman" w:hAnsi="Times New Roman" w:cs="Times New Roman"/>
                <w:bCs/>
              </w:rPr>
              <w:t>GSW</w:t>
            </w:r>
          </w:p>
        </w:tc>
        <w:tc>
          <w:tcPr>
            <w:tcW w:w="991" w:type="dxa"/>
          </w:tcPr>
          <w:p w14:paraId="26E4DA45" w14:textId="208D21B6" w:rsidR="00925EF3" w:rsidRDefault="00925EF3" w:rsidP="00C92F7B">
            <w:pPr>
              <w:jc w:val="center"/>
              <w:rPr>
                <w:rFonts w:ascii="Times New Roman" w:hAnsi="Times New Roman" w:cs="Times New Roman"/>
                <w:bCs/>
              </w:rPr>
            </w:pPr>
            <w:r>
              <w:rPr>
                <w:rFonts w:ascii="Times New Roman" w:hAnsi="Times New Roman" w:cs="Times New Roman"/>
                <w:bCs/>
              </w:rPr>
              <w:t>LAC</w:t>
            </w:r>
          </w:p>
        </w:tc>
        <w:tc>
          <w:tcPr>
            <w:tcW w:w="991" w:type="dxa"/>
          </w:tcPr>
          <w:p w14:paraId="34964070" w14:textId="4A084F98" w:rsidR="00925EF3" w:rsidRDefault="00925EF3" w:rsidP="00C92F7B">
            <w:pPr>
              <w:jc w:val="center"/>
              <w:rPr>
                <w:rFonts w:ascii="Times New Roman" w:hAnsi="Times New Roman" w:cs="Times New Roman"/>
                <w:bCs/>
              </w:rPr>
            </w:pPr>
            <w:r>
              <w:rPr>
                <w:rFonts w:ascii="Times New Roman" w:hAnsi="Times New Roman" w:cs="Times New Roman"/>
                <w:bCs/>
              </w:rPr>
              <w:t>WAS</w:t>
            </w:r>
          </w:p>
        </w:tc>
        <w:tc>
          <w:tcPr>
            <w:tcW w:w="991" w:type="dxa"/>
            <w:tcBorders>
              <w:right w:val="single" w:sz="18" w:space="0" w:color="FF0000"/>
            </w:tcBorders>
          </w:tcPr>
          <w:p w14:paraId="0332EB72" w14:textId="6128257A" w:rsidR="00925EF3" w:rsidRDefault="00925EF3" w:rsidP="00C92F7B">
            <w:pPr>
              <w:jc w:val="center"/>
              <w:rPr>
                <w:rFonts w:ascii="Times New Roman" w:hAnsi="Times New Roman" w:cs="Times New Roman"/>
                <w:bCs/>
              </w:rPr>
            </w:pPr>
            <w:r>
              <w:rPr>
                <w:rFonts w:ascii="Times New Roman" w:hAnsi="Times New Roman" w:cs="Times New Roman"/>
                <w:bCs/>
              </w:rPr>
              <w:t>DEN</w:t>
            </w:r>
          </w:p>
        </w:tc>
        <w:tc>
          <w:tcPr>
            <w:tcW w:w="991" w:type="dxa"/>
            <w:tcBorders>
              <w:top w:val="single" w:sz="18" w:space="0" w:color="FF0000"/>
              <w:left w:val="single" w:sz="18" w:space="0" w:color="FF0000"/>
              <w:bottom w:val="nil"/>
              <w:right w:val="nil"/>
            </w:tcBorders>
          </w:tcPr>
          <w:p w14:paraId="537F3753" w14:textId="6B6278F2" w:rsidR="00925EF3" w:rsidRDefault="00925EF3" w:rsidP="00C92F7B">
            <w:pPr>
              <w:jc w:val="center"/>
              <w:rPr>
                <w:rFonts w:ascii="Times New Roman" w:hAnsi="Times New Roman" w:cs="Times New Roman"/>
                <w:bCs/>
              </w:rPr>
            </w:pPr>
            <w:r>
              <w:rPr>
                <w:rFonts w:ascii="Times New Roman" w:hAnsi="Times New Roman" w:cs="Times New Roman"/>
                <w:bCs/>
              </w:rPr>
              <w:t>CLE</w:t>
            </w:r>
          </w:p>
        </w:tc>
        <w:tc>
          <w:tcPr>
            <w:tcW w:w="991" w:type="dxa"/>
            <w:tcBorders>
              <w:top w:val="single" w:sz="18" w:space="0" w:color="FF0000"/>
              <w:left w:val="nil"/>
              <w:bottom w:val="nil"/>
              <w:right w:val="single" w:sz="18" w:space="0" w:color="FF0000"/>
            </w:tcBorders>
          </w:tcPr>
          <w:p w14:paraId="527A4CDC" w14:textId="549E64BF" w:rsidR="00925EF3" w:rsidRDefault="00925EF3" w:rsidP="00C92F7B">
            <w:pPr>
              <w:jc w:val="center"/>
              <w:rPr>
                <w:rFonts w:ascii="Times New Roman" w:hAnsi="Times New Roman" w:cs="Times New Roman"/>
                <w:bCs/>
              </w:rPr>
            </w:pPr>
            <w:r>
              <w:rPr>
                <w:rFonts w:ascii="Times New Roman" w:hAnsi="Times New Roman" w:cs="Times New Roman"/>
                <w:bCs/>
              </w:rPr>
              <w:t>LAL</w:t>
            </w:r>
          </w:p>
        </w:tc>
      </w:tr>
      <w:tr w:rsidR="00925EF3" w14:paraId="77A6788B" w14:textId="77777777" w:rsidTr="00C92F7B">
        <w:trPr>
          <w:trHeight w:val="336"/>
          <w:jc w:val="center"/>
        </w:trPr>
        <w:tc>
          <w:tcPr>
            <w:tcW w:w="1807" w:type="dxa"/>
          </w:tcPr>
          <w:p w14:paraId="4325580F" w14:textId="02A3D3CF" w:rsidR="00925EF3" w:rsidRPr="00925EF3" w:rsidRDefault="00925EF3" w:rsidP="00C92F7B">
            <w:pPr>
              <w:jc w:val="center"/>
              <w:rPr>
                <w:rFonts w:ascii="Times New Roman" w:hAnsi="Times New Roman" w:cs="Times New Roman"/>
                <w:b/>
              </w:rPr>
            </w:pPr>
            <w:r>
              <w:rPr>
                <w:rFonts w:ascii="Times New Roman" w:hAnsi="Times New Roman" w:cs="Times New Roman"/>
                <w:b/>
              </w:rPr>
              <w:t>% Above Avg.</w:t>
            </w:r>
          </w:p>
        </w:tc>
        <w:tc>
          <w:tcPr>
            <w:tcW w:w="990" w:type="dxa"/>
          </w:tcPr>
          <w:p w14:paraId="0AB0139D" w14:textId="4E4445B8" w:rsidR="00925EF3" w:rsidRDefault="00925EF3" w:rsidP="00C92F7B">
            <w:pPr>
              <w:jc w:val="center"/>
              <w:rPr>
                <w:rFonts w:ascii="Times New Roman" w:hAnsi="Times New Roman" w:cs="Times New Roman"/>
                <w:bCs/>
              </w:rPr>
            </w:pPr>
            <w:r>
              <w:rPr>
                <w:rFonts w:ascii="Times New Roman" w:hAnsi="Times New Roman" w:cs="Times New Roman"/>
                <w:bCs/>
              </w:rPr>
              <w:t>20%</w:t>
            </w:r>
          </w:p>
        </w:tc>
        <w:tc>
          <w:tcPr>
            <w:tcW w:w="991" w:type="dxa"/>
          </w:tcPr>
          <w:p w14:paraId="1FED318C" w14:textId="4A25E3C4" w:rsidR="00925EF3" w:rsidRDefault="00925EF3" w:rsidP="00C92F7B">
            <w:pPr>
              <w:jc w:val="center"/>
              <w:rPr>
                <w:rFonts w:ascii="Times New Roman" w:hAnsi="Times New Roman" w:cs="Times New Roman"/>
                <w:bCs/>
              </w:rPr>
            </w:pPr>
            <w:r>
              <w:rPr>
                <w:rFonts w:ascii="Times New Roman" w:hAnsi="Times New Roman" w:cs="Times New Roman"/>
                <w:bCs/>
              </w:rPr>
              <w:t>20%</w:t>
            </w:r>
          </w:p>
        </w:tc>
        <w:tc>
          <w:tcPr>
            <w:tcW w:w="991" w:type="dxa"/>
          </w:tcPr>
          <w:p w14:paraId="69929495" w14:textId="29974AE4" w:rsidR="00925EF3" w:rsidRDefault="00925EF3" w:rsidP="00C92F7B">
            <w:pPr>
              <w:jc w:val="center"/>
              <w:rPr>
                <w:rFonts w:ascii="Times New Roman" w:hAnsi="Times New Roman" w:cs="Times New Roman"/>
                <w:bCs/>
              </w:rPr>
            </w:pPr>
            <w:r>
              <w:rPr>
                <w:rFonts w:ascii="Times New Roman" w:hAnsi="Times New Roman" w:cs="Times New Roman"/>
                <w:bCs/>
              </w:rPr>
              <w:t>20%</w:t>
            </w:r>
          </w:p>
        </w:tc>
        <w:tc>
          <w:tcPr>
            <w:tcW w:w="991" w:type="dxa"/>
          </w:tcPr>
          <w:p w14:paraId="375B1855" w14:textId="6E1B02F4" w:rsidR="00925EF3" w:rsidRDefault="00925EF3" w:rsidP="00C92F7B">
            <w:pPr>
              <w:jc w:val="center"/>
              <w:rPr>
                <w:rFonts w:ascii="Times New Roman" w:hAnsi="Times New Roman" w:cs="Times New Roman"/>
                <w:bCs/>
              </w:rPr>
            </w:pPr>
            <w:r>
              <w:rPr>
                <w:rFonts w:ascii="Times New Roman" w:hAnsi="Times New Roman" w:cs="Times New Roman"/>
                <w:bCs/>
              </w:rPr>
              <w:t>20%</w:t>
            </w:r>
          </w:p>
        </w:tc>
        <w:tc>
          <w:tcPr>
            <w:tcW w:w="991" w:type="dxa"/>
            <w:tcBorders>
              <w:right w:val="single" w:sz="18" w:space="0" w:color="FF0000"/>
            </w:tcBorders>
          </w:tcPr>
          <w:p w14:paraId="3CC1468D" w14:textId="653639D9" w:rsidR="00925EF3" w:rsidRDefault="00925EF3" w:rsidP="00C92F7B">
            <w:pPr>
              <w:jc w:val="center"/>
              <w:rPr>
                <w:rFonts w:ascii="Times New Roman" w:hAnsi="Times New Roman" w:cs="Times New Roman"/>
                <w:bCs/>
              </w:rPr>
            </w:pPr>
            <w:r>
              <w:rPr>
                <w:rFonts w:ascii="Times New Roman" w:hAnsi="Times New Roman" w:cs="Times New Roman"/>
                <w:bCs/>
              </w:rPr>
              <w:t>60%</w:t>
            </w:r>
          </w:p>
        </w:tc>
        <w:tc>
          <w:tcPr>
            <w:tcW w:w="991" w:type="dxa"/>
            <w:tcBorders>
              <w:top w:val="nil"/>
              <w:left w:val="single" w:sz="18" w:space="0" w:color="FF0000"/>
              <w:bottom w:val="nil"/>
              <w:right w:val="nil"/>
            </w:tcBorders>
          </w:tcPr>
          <w:p w14:paraId="5DBC689C" w14:textId="2143F704" w:rsidR="00925EF3" w:rsidRDefault="00F67AC9" w:rsidP="00C92F7B">
            <w:pPr>
              <w:jc w:val="center"/>
              <w:rPr>
                <w:rFonts w:ascii="Times New Roman" w:hAnsi="Times New Roman" w:cs="Times New Roman"/>
                <w:bCs/>
              </w:rPr>
            </w:pPr>
            <w:r>
              <w:rPr>
                <w:rFonts w:ascii="Times New Roman" w:hAnsi="Times New Roman" w:cs="Times New Roman"/>
                <w:bCs/>
              </w:rPr>
              <w:t>140%</w:t>
            </w:r>
          </w:p>
        </w:tc>
        <w:tc>
          <w:tcPr>
            <w:tcW w:w="991" w:type="dxa"/>
            <w:tcBorders>
              <w:top w:val="nil"/>
              <w:left w:val="nil"/>
              <w:bottom w:val="nil"/>
              <w:right w:val="single" w:sz="18" w:space="0" w:color="FF0000"/>
            </w:tcBorders>
          </w:tcPr>
          <w:p w14:paraId="20061D43" w14:textId="18CF0989" w:rsidR="00925EF3" w:rsidRDefault="00F67AC9" w:rsidP="00C92F7B">
            <w:pPr>
              <w:jc w:val="center"/>
              <w:rPr>
                <w:rFonts w:ascii="Times New Roman" w:hAnsi="Times New Roman" w:cs="Times New Roman"/>
                <w:bCs/>
              </w:rPr>
            </w:pPr>
            <w:r>
              <w:rPr>
                <w:rFonts w:ascii="Times New Roman" w:hAnsi="Times New Roman" w:cs="Times New Roman"/>
                <w:bCs/>
              </w:rPr>
              <w:t>140%</w:t>
            </w:r>
          </w:p>
        </w:tc>
      </w:tr>
      <w:tr w:rsidR="00925EF3" w14:paraId="2AA45602" w14:textId="77777777" w:rsidTr="00C92F7B">
        <w:trPr>
          <w:trHeight w:val="336"/>
          <w:jc w:val="center"/>
        </w:trPr>
        <w:tc>
          <w:tcPr>
            <w:tcW w:w="1807" w:type="dxa"/>
          </w:tcPr>
          <w:p w14:paraId="486B6761" w14:textId="0BC6E2FB" w:rsidR="00925EF3" w:rsidRPr="00F67AC9" w:rsidRDefault="00F67AC9" w:rsidP="00C92F7B">
            <w:pPr>
              <w:jc w:val="center"/>
              <w:rPr>
                <w:rFonts w:ascii="Times New Roman" w:hAnsi="Times New Roman" w:cs="Times New Roman"/>
                <w:b/>
              </w:rPr>
            </w:pPr>
            <w:r>
              <w:rPr>
                <w:rFonts w:ascii="Times New Roman" w:hAnsi="Times New Roman" w:cs="Times New Roman"/>
                <w:b/>
              </w:rPr>
              <w:t>Win % Overall</w:t>
            </w:r>
          </w:p>
        </w:tc>
        <w:tc>
          <w:tcPr>
            <w:tcW w:w="990" w:type="dxa"/>
          </w:tcPr>
          <w:p w14:paraId="5B69C9E1" w14:textId="45B1820F" w:rsidR="00925EF3" w:rsidRDefault="00C92F7B" w:rsidP="00C92F7B">
            <w:pPr>
              <w:jc w:val="center"/>
              <w:rPr>
                <w:rFonts w:ascii="Times New Roman" w:hAnsi="Times New Roman" w:cs="Times New Roman"/>
                <w:bCs/>
              </w:rPr>
            </w:pPr>
            <w:r>
              <w:rPr>
                <w:rFonts w:ascii="Times New Roman" w:hAnsi="Times New Roman" w:cs="Times New Roman"/>
                <w:bCs/>
              </w:rPr>
              <w:t>16.67%</w:t>
            </w:r>
          </w:p>
        </w:tc>
        <w:tc>
          <w:tcPr>
            <w:tcW w:w="991" w:type="dxa"/>
          </w:tcPr>
          <w:p w14:paraId="0472AE2F" w14:textId="40041A37" w:rsidR="00925EF3" w:rsidRDefault="00C92F7B" w:rsidP="00C92F7B">
            <w:pPr>
              <w:jc w:val="center"/>
              <w:rPr>
                <w:rFonts w:ascii="Times New Roman" w:hAnsi="Times New Roman" w:cs="Times New Roman"/>
                <w:bCs/>
              </w:rPr>
            </w:pPr>
            <w:r>
              <w:rPr>
                <w:rFonts w:ascii="Times New Roman" w:hAnsi="Times New Roman" w:cs="Times New Roman"/>
                <w:bCs/>
              </w:rPr>
              <w:t>21.42%</w:t>
            </w:r>
          </w:p>
        </w:tc>
        <w:tc>
          <w:tcPr>
            <w:tcW w:w="991" w:type="dxa"/>
          </w:tcPr>
          <w:p w14:paraId="3E90F4B3" w14:textId="49D640BE" w:rsidR="00925EF3" w:rsidRDefault="00C92F7B" w:rsidP="00C92F7B">
            <w:pPr>
              <w:jc w:val="center"/>
              <w:rPr>
                <w:rFonts w:ascii="Times New Roman" w:hAnsi="Times New Roman" w:cs="Times New Roman"/>
                <w:bCs/>
              </w:rPr>
            </w:pPr>
            <w:r>
              <w:rPr>
                <w:rFonts w:ascii="Times New Roman" w:hAnsi="Times New Roman" w:cs="Times New Roman"/>
                <w:bCs/>
              </w:rPr>
              <w:t>17.65%</w:t>
            </w:r>
          </w:p>
        </w:tc>
        <w:tc>
          <w:tcPr>
            <w:tcW w:w="991" w:type="dxa"/>
          </w:tcPr>
          <w:p w14:paraId="5A0856A2" w14:textId="78019869" w:rsidR="00925EF3" w:rsidRDefault="00C92F7B" w:rsidP="00C92F7B">
            <w:pPr>
              <w:jc w:val="center"/>
              <w:rPr>
                <w:rFonts w:ascii="Times New Roman" w:hAnsi="Times New Roman" w:cs="Times New Roman"/>
                <w:bCs/>
              </w:rPr>
            </w:pPr>
            <w:r>
              <w:rPr>
                <w:rFonts w:ascii="Times New Roman" w:hAnsi="Times New Roman" w:cs="Times New Roman"/>
                <w:bCs/>
              </w:rPr>
              <w:t>21.43%</w:t>
            </w:r>
          </w:p>
        </w:tc>
        <w:tc>
          <w:tcPr>
            <w:tcW w:w="991" w:type="dxa"/>
            <w:tcBorders>
              <w:right w:val="single" w:sz="18" w:space="0" w:color="FF0000"/>
            </w:tcBorders>
          </w:tcPr>
          <w:p w14:paraId="0CF07C5E" w14:textId="064EAF99" w:rsidR="00925EF3" w:rsidRDefault="00C92F7B" w:rsidP="00C92F7B">
            <w:pPr>
              <w:jc w:val="center"/>
              <w:rPr>
                <w:rFonts w:ascii="Times New Roman" w:hAnsi="Times New Roman" w:cs="Times New Roman"/>
                <w:bCs/>
              </w:rPr>
            </w:pPr>
            <w:r>
              <w:rPr>
                <w:rFonts w:ascii="Times New Roman" w:hAnsi="Times New Roman" w:cs="Times New Roman"/>
                <w:bCs/>
              </w:rPr>
              <w:t>25%</w:t>
            </w:r>
          </w:p>
        </w:tc>
        <w:tc>
          <w:tcPr>
            <w:tcW w:w="991" w:type="dxa"/>
            <w:tcBorders>
              <w:top w:val="nil"/>
              <w:left w:val="single" w:sz="18" w:space="0" w:color="FF0000"/>
              <w:bottom w:val="single" w:sz="18" w:space="0" w:color="FF0000"/>
              <w:right w:val="nil"/>
            </w:tcBorders>
          </w:tcPr>
          <w:p w14:paraId="00DFCAC4" w14:textId="070F733C" w:rsidR="00925EF3" w:rsidRDefault="00C92F7B" w:rsidP="00C92F7B">
            <w:pPr>
              <w:jc w:val="center"/>
              <w:rPr>
                <w:rFonts w:ascii="Times New Roman" w:hAnsi="Times New Roman" w:cs="Times New Roman"/>
                <w:bCs/>
              </w:rPr>
            </w:pPr>
            <w:r>
              <w:rPr>
                <w:rFonts w:ascii="Times New Roman" w:hAnsi="Times New Roman" w:cs="Times New Roman"/>
                <w:bCs/>
              </w:rPr>
              <w:t>37.5%</w:t>
            </w:r>
          </w:p>
        </w:tc>
        <w:tc>
          <w:tcPr>
            <w:tcW w:w="991" w:type="dxa"/>
            <w:tcBorders>
              <w:top w:val="nil"/>
              <w:left w:val="nil"/>
              <w:bottom w:val="single" w:sz="18" w:space="0" w:color="FF0000"/>
              <w:right w:val="single" w:sz="18" w:space="0" w:color="FF0000"/>
            </w:tcBorders>
          </w:tcPr>
          <w:p w14:paraId="24725F8D" w14:textId="0EE3C605" w:rsidR="00925EF3" w:rsidRDefault="00C92F7B" w:rsidP="00C92F7B">
            <w:pPr>
              <w:jc w:val="center"/>
              <w:rPr>
                <w:rFonts w:ascii="Times New Roman" w:hAnsi="Times New Roman" w:cs="Times New Roman"/>
                <w:bCs/>
              </w:rPr>
            </w:pPr>
            <w:r>
              <w:rPr>
                <w:rFonts w:ascii="Times New Roman" w:hAnsi="Times New Roman" w:cs="Times New Roman"/>
                <w:bCs/>
              </w:rPr>
              <w:t>37.5%</w:t>
            </w:r>
          </w:p>
        </w:tc>
      </w:tr>
    </w:tbl>
    <w:p w14:paraId="31A3818A" w14:textId="2ECE8438" w:rsidR="009A7AAA" w:rsidRPr="00925EF3" w:rsidRDefault="00925EF3" w:rsidP="00C92F7B">
      <w:pPr>
        <w:jc w:val="center"/>
        <w:rPr>
          <w:rFonts w:ascii="Times New Roman" w:hAnsi="Times New Roman" w:cs="Times New Roman"/>
          <w:bCs/>
          <w:sz w:val="21"/>
          <w:szCs w:val="21"/>
        </w:rPr>
      </w:pPr>
      <w:r w:rsidRPr="00925EF3">
        <w:rPr>
          <w:rFonts w:ascii="Times New Roman" w:hAnsi="Times New Roman" w:cs="Times New Roman"/>
          <w:bCs/>
          <w:sz w:val="21"/>
          <w:szCs w:val="21"/>
        </w:rPr>
        <w:t>** The instances were taken only in terms of games where they came back to win, and the win</w:t>
      </w:r>
      <w:r w:rsidR="000671D2">
        <w:rPr>
          <w:rFonts w:ascii="Times New Roman" w:hAnsi="Times New Roman" w:cs="Times New Roman"/>
          <w:bCs/>
          <w:sz w:val="21"/>
          <w:szCs w:val="21"/>
        </w:rPr>
        <w:t xml:space="preserve"> </w:t>
      </w:r>
      <w:r w:rsidRPr="00925EF3">
        <w:rPr>
          <w:rFonts w:ascii="Times New Roman" w:hAnsi="Times New Roman" w:cs="Times New Roman"/>
          <w:bCs/>
          <w:sz w:val="21"/>
          <w:szCs w:val="21"/>
        </w:rPr>
        <w:t xml:space="preserve">% is taken from </w:t>
      </w:r>
      <w:proofErr w:type="gramStart"/>
      <w:r w:rsidR="000671D2">
        <w:rPr>
          <w:rFonts w:ascii="Times New Roman" w:hAnsi="Times New Roman" w:cs="Times New Roman"/>
          <w:bCs/>
          <w:sz w:val="21"/>
          <w:szCs w:val="21"/>
        </w:rPr>
        <w:t>all of</w:t>
      </w:r>
      <w:proofErr w:type="gramEnd"/>
      <w:r w:rsidR="000671D2">
        <w:rPr>
          <w:rFonts w:ascii="Times New Roman" w:hAnsi="Times New Roman" w:cs="Times New Roman"/>
          <w:bCs/>
          <w:sz w:val="21"/>
          <w:szCs w:val="21"/>
        </w:rPr>
        <w:t xml:space="preserve"> the games in the set</w:t>
      </w:r>
    </w:p>
    <w:p w14:paraId="0604A29B" w14:textId="43B3278B" w:rsidR="00C92F7B" w:rsidRDefault="00C92F7B" w:rsidP="00FF5BDC">
      <w:pPr>
        <w:ind w:firstLine="720"/>
        <w:rPr>
          <w:rFonts w:ascii="Times New Roman" w:hAnsi="Times New Roman" w:cs="Times New Roman"/>
          <w:bCs/>
        </w:rPr>
      </w:pPr>
      <w:r>
        <w:rPr>
          <w:rFonts w:ascii="Times New Roman" w:hAnsi="Times New Roman" w:cs="Times New Roman"/>
          <w:bCs/>
        </w:rPr>
        <w:t>Seeing this data, if Milwaukee was playing the Cavaliers or Lakers, I would suggest to possibly foul them before they can get into their design play to limit the probability of success for them. Before these games, more data would be valuable to see if this trend holds or is specific to this snapshot of games.</w:t>
      </w:r>
    </w:p>
    <w:p w14:paraId="6D4FCA80" w14:textId="1A15B6BA" w:rsidR="00537A68" w:rsidRDefault="009A7AAA" w:rsidP="00925EF3">
      <w:pPr>
        <w:ind w:firstLine="720"/>
        <w:rPr>
          <w:rFonts w:ascii="Times New Roman" w:hAnsi="Times New Roman" w:cs="Times New Roman"/>
          <w:bCs/>
        </w:rPr>
      </w:pPr>
      <w:r>
        <w:rPr>
          <w:rFonts w:ascii="Times New Roman" w:hAnsi="Times New Roman" w:cs="Times New Roman"/>
          <w:bCs/>
        </w:rPr>
        <w:lastRenderedPageBreak/>
        <w:t xml:space="preserve">After seeing these exploratory figures for game outcomes in general, my suggestion to the coaches would be to NOT foul. However, to confirm this approach, </w:t>
      </w:r>
      <w:r w:rsidR="00F34720">
        <w:rPr>
          <w:rFonts w:ascii="Times New Roman" w:hAnsi="Times New Roman" w:cs="Times New Roman"/>
          <w:bCs/>
        </w:rPr>
        <w:t>evaluating the distribution of win percentages over more time would be valuable.</w:t>
      </w:r>
      <w:r w:rsidR="00FF5BDC">
        <w:rPr>
          <w:rFonts w:ascii="Times New Roman" w:hAnsi="Times New Roman" w:cs="Times New Roman"/>
          <w:bCs/>
        </w:rPr>
        <w:t xml:space="preserve"> Given the static nature of the constraints on this situation, the primary explanatory variable would be “</w:t>
      </w:r>
      <w:proofErr w:type="spellStart"/>
      <w:r w:rsidR="00FF5BDC">
        <w:rPr>
          <w:rFonts w:ascii="Times New Roman" w:hAnsi="Times New Roman" w:cs="Times New Roman"/>
          <w:bCs/>
        </w:rPr>
        <w:t>fouls_def</w:t>
      </w:r>
      <w:proofErr w:type="spellEnd"/>
      <w:r w:rsidR="00FF5BDC">
        <w:rPr>
          <w:rFonts w:ascii="Times New Roman" w:hAnsi="Times New Roman" w:cs="Times New Roman"/>
          <w:bCs/>
        </w:rPr>
        <w:t>” (indicator variable for defensive foul) to predict whether the defensive team won the game.</w:t>
      </w:r>
    </w:p>
    <w:p w14:paraId="7A95EA4C" w14:textId="77777777" w:rsidR="000671D2" w:rsidRDefault="000671D2" w:rsidP="00925EF3">
      <w:pPr>
        <w:ind w:firstLine="720"/>
        <w:rPr>
          <w:rFonts w:ascii="Times New Roman" w:hAnsi="Times New Roman" w:cs="Times New Roman"/>
          <w:bCs/>
        </w:rPr>
      </w:pPr>
    </w:p>
    <w:p w14:paraId="06C61FC6" w14:textId="5CEFCF9E" w:rsidR="00F32DCC" w:rsidRDefault="00F32DCC" w:rsidP="00AE4290">
      <w:pPr>
        <w:jc w:val="center"/>
        <w:rPr>
          <w:rFonts w:ascii="Times New Roman" w:hAnsi="Times New Roman" w:cs="Times New Roman"/>
          <w:bCs/>
        </w:rPr>
      </w:pPr>
      <w:r w:rsidRPr="00F32DCC">
        <w:rPr>
          <w:rFonts w:ascii="Times New Roman" w:hAnsi="Times New Roman" w:cs="Times New Roman"/>
          <w:bCs/>
          <w:noProof/>
        </w:rPr>
        <w:drawing>
          <wp:inline distT="0" distB="0" distL="0" distR="0" wp14:anchorId="77F7CAD6" wp14:editId="13CA1A23">
            <wp:extent cx="2781300" cy="1743661"/>
            <wp:effectExtent l="12700" t="12700" r="12700" b="9525"/>
            <wp:docPr id="1491128956"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128956" name="Picture 1" descr="A graph with green squares&#10;&#10;Description automatically generated"/>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2785353" cy="1746202"/>
                    </a:xfrm>
                    <a:prstGeom prst="rect">
                      <a:avLst/>
                    </a:prstGeom>
                    <a:ln>
                      <a:solidFill>
                        <a:schemeClr val="bg1">
                          <a:lumMod val="65000"/>
                        </a:schemeClr>
                      </a:solidFill>
                    </a:ln>
                  </pic:spPr>
                </pic:pic>
              </a:graphicData>
            </a:graphic>
          </wp:inline>
        </w:drawing>
      </w:r>
      <w:r w:rsidRPr="00F32DCC">
        <w:rPr>
          <w:rFonts w:ascii="Times New Roman" w:hAnsi="Times New Roman" w:cs="Times New Roman"/>
          <w:bCs/>
          <w:noProof/>
        </w:rPr>
        <w:drawing>
          <wp:inline distT="0" distB="0" distL="0" distR="0" wp14:anchorId="3699EC1C" wp14:editId="277A8F09">
            <wp:extent cx="2781300" cy="1743661"/>
            <wp:effectExtent l="12700" t="12700" r="15875" b="10795"/>
            <wp:docPr id="148104577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45771" name="Picture 1" descr="A graph of a graph&#10;&#10;Description automatically generated with medium confidence"/>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2781300" cy="1743661"/>
                    </a:xfrm>
                    <a:prstGeom prst="rect">
                      <a:avLst/>
                    </a:prstGeom>
                    <a:ln>
                      <a:solidFill>
                        <a:schemeClr val="bg1">
                          <a:lumMod val="65000"/>
                        </a:schemeClr>
                      </a:solidFill>
                    </a:ln>
                  </pic:spPr>
                </pic:pic>
              </a:graphicData>
            </a:graphic>
          </wp:inline>
        </w:drawing>
      </w:r>
    </w:p>
    <w:p w14:paraId="36C1F8FB" w14:textId="77777777" w:rsidR="00B361FF" w:rsidRDefault="00B361FF">
      <w:pPr>
        <w:rPr>
          <w:rFonts w:ascii="Times New Roman" w:hAnsi="Times New Roman" w:cs="Times New Roman"/>
          <w:bCs/>
        </w:rPr>
      </w:pPr>
    </w:p>
    <w:p w14:paraId="3424960C" w14:textId="104F88E5" w:rsidR="00EE0A7F" w:rsidRDefault="00F34720" w:rsidP="00B361FF">
      <w:pPr>
        <w:ind w:firstLine="720"/>
        <w:rPr>
          <w:rFonts w:ascii="Times New Roman" w:hAnsi="Times New Roman" w:cs="Times New Roman"/>
          <w:bCs/>
        </w:rPr>
      </w:pPr>
      <w:r>
        <w:rPr>
          <w:rFonts w:ascii="Times New Roman" w:hAnsi="Times New Roman" w:cs="Times New Roman"/>
          <w:bCs/>
        </w:rPr>
        <w:t xml:space="preserve">A logistic regression to predict success </w:t>
      </w:r>
      <w:r w:rsidR="00B361FF">
        <w:rPr>
          <w:rFonts w:ascii="Times New Roman" w:hAnsi="Times New Roman" w:cs="Times New Roman"/>
          <w:bCs/>
        </w:rPr>
        <w:t>off</w:t>
      </w:r>
      <w:r>
        <w:rPr>
          <w:rFonts w:ascii="Times New Roman" w:hAnsi="Times New Roman" w:cs="Times New Roman"/>
          <w:bCs/>
        </w:rPr>
        <w:t xml:space="preserve"> defensive fouls alone does not prove to be extremely significant, and more explanatory variables that are situation based would be valuable to </w:t>
      </w:r>
      <w:r w:rsidR="00B361FF">
        <w:rPr>
          <w:rFonts w:ascii="Times New Roman" w:hAnsi="Times New Roman" w:cs="Times New Roman"/>
          <w:bCs/>
        </w:rPr>
        <w:t>predict the probability of a team winning more accurately</w:t>
      </w:r>
      <w:r>
        <w:rPr>
          <w:rFonts w:ascii="Times New Roman" w:hAnsi="Times New Roman" w:cs="Times New Roman"/>
          <w:bCs/>
        </w:rPr>
        <w:t xml:space="preserve"> in these scenarios.</w:t>
      </w:r>
      <w:r w:rsidR="00B361FF">
        <w:rPr>
          <w:rFonts w:ascii="Times New Roman" w:hAnsi="Times New Roman" w:cs="Times New Roman"/>
          <w:bCs/>
        </w:rPr>
        <w:t xml:space="preserve"> </w:t>
      </w:r>
      <w:r w:rsidR="00BB3791">
        <w:rPr>
          <w:rFonts w:ascii="Times New Roman" w:hAnsi="Times New Roman" w:cs="Times New Roman"/>
          <w:bCs/>
        </w:rPr>
        <w:t xml:space="preserve">Adding in time left in the game, the model does not prove to be significantly predictive, and the time left in the game is much more significant in determining the outcome of the game than whether fouls were committed. </w:t>
      </w:r>
      <w:r w:rsidR="00B361FF">
        <w:rPr>
          <w:rFonts w:ascii="Times New Roman" w:hAnsi="Times New Roman" w:cs="Times New Roman"/>
          <w:bCs/>
        </w:rPr>
        <w:t>If I were to try and build a better predictive model for whether a team will win, including variables such as time outs remaining for each team, minutes played of the players on both teams, and certain players on the opposing team that might be more skilled at shooting 3’s. More variables would allow for a more accurate predictive model and would allow for the fouling variable to be more significant.</w:t>
      </w:r>
    </w:p>
    <w:p w14:paraId="490EF1BD" w14:textId="590D9E57" w:rsidR="00B361FF" w:rsidRPr="005A5663" w:rsidRDefault="005A5663" w:rsidP="00B361FF">
      <w:pPr>
        <w:ind w:firstLine="720"/>
        <w:rPr>
          <w:rFonts w:ascii="Times New Roman" w:hAnsi="Times New Roman" w:cs="Times New Roman"/>
          <w:bCs/>
        </w:rPr>
      </w:pPr>
      <w:r>
        <w:rPr>
          <w:rFonts w:ascii="Times New Roman" w:hAnsi="Times New Roman" w:cs="Times New Roman"/>
          <w:bCs/>
        </w:rPr>
        <w:t xml:space="preserve">Given the narrative this dataset provides, my suggestion to the coaches would be to </w:t>
      </w:r>
      <w:r>
        <w:rPr>
          <w:rFonts w:ascii="Times New Roman" w:hAnsi="Times New Roman" w:cs="Times New Roman"/>
          <w:bCs/>
          <w:i/>
          <w:iCs/>
        </w:rPr>
        <w:t>not</w:t>
      </w:r>
      <w:r>
        <w:rPr>
          <w:rFonts w:ascii="Times New Roman" w:hAnsi="Times New Roman" w:cs="Times New Roman"/>
          <w:bCs/>
        </w:rPr>
        <w:t xml:space="preserve"> foul when up by 3 points in the fourth quarter, less than 24 seconds on the clock and the shot clock is off. A significant majority of the time, regardless of fouling, the team on defense wins the game. In this scenario, most of the teams have win percentages from 80-100%, which can be seen in the two figures above. I mentioned some other variables that may be </w:t>
      </w:r>
      <w:r w:rsidR="00DE4C9C">
        <w:rPr>
          <w:rFonts w:ascii="Times New Roman" w:hAnsi="Times New Roman" w:cs="Times New Roman"/>
          <w:bCs/>
        </w:rPr>
        <w:t>encouraging</w:t>
      </w:r>
      <w:r>
        <w:rPr>
          <w:rFonts w:ascii="Times New Roman" w:hAnsi="Times New Roman" w:cs="Times New Roman"/>
          <w:bCs/>
        </w:rPr>
        <w:t xml:space="preserve"> to include if creating a predictive model, and how well your defense has been playing previously in the game/any scoring runs that are happening are also important to consider from the coaches when making this decision. The two teams that have a much higher comeback-rate than the rest, Los Angeles Lakers and the Cleveland Cavaliers, may require additional caution, but my official suggestion, given this data, would be to not foul.</w:t>
      </w:r>
    </w:p>
    <w:p w14:paraId="61E55F31" w14:textId="77777777" w:rsidR="00F34720" w:rsidRDefault="00F34720">
      <w:pPr>
        <w:rPr>
          <w:rFonts w:ascii="Times New Roman" w:hAnsi="Times New Roman" w:cs="Times New Roman"/>
          <w:bCs/>
        </w:rPr>
      </w:pPr>
    </w:p>
    <w:p w14:paraId="07F2D29F" w14:textId="77777777" w:rsidR="00F34720" w:rsidRDefault="00F34720">
      <w:pPr>
        <w:rPr>
          <w:rFonts w:ascii="Times New Roman" w:hAnsi="Times New Roman" w:cs="Times New Roman"/>
          <w:bCs/>
        </w:rPr>
      </w:pPr>
    </w:p>
    <w:p w14:paraId="16F9B9D3" w14:textId="77777777" w:rsidR="000671D2" w:rsidRDefault="000671D2">
      <w:pPr>
        <w:rPr>
          <w:rFonts w:ascii="Times New Roman" w:hAnsi="Times New Roman" w:cs="Times New Roman"/>
          <w:b/>
          <w:sz w:val="32"/>
          <w:szCs w:val="32"/>
        </w:rPr>
      </w:pPr>
    </w:p>
    <w:p w14:paraId="7E8E5CAE" w14:textId="77777777" w:rsidR="000671D2" w:rsidRDefault="000671D2">
      <w:pPr>
        <w:rPr>
          <w:rFonts w:ascii="Times New Roman" w:hAnsi="Times New Roman" w:cs="Times New Roman"/>
          <w:b/>
          <w:sz w:val="32"/>
          <w:szCs w:val="32"/>
        </w:rPr>
      </w:pPr>
    </w:p>
    <w:p w14:paraId="50615190" w14:textId="4B436176" w:rsidR="00AE4290" w:rsidRPr="00DE4C9C" w:rsidRDefault="00F34720" w:rsidP="00DE4C9C">
      <w:pPr>
        <w:rPr>
          <w:rFonts w:ascii="Times New Roman" w:hAnsi="Times New Roman" w:cs="Times New Roman"/>
          <w:b/>
          <w:sz w:val="32"/>
          <w:szCs w:val="32"/>
        </w:rPr>
      </w:pPr>
      <w:r>
        <w:rPr>
          <w:rFonts w:ascii="Times New Roman" w:hAnsi="Times New Roman" w:cs="Times New Roman"/>
          <w:b/>
          <w:sz w:val="32"/>
          <w:szCs w:val="32"/>
        </w:rPr>
        <w:lastRenderedPageBreak/>
        <w:t>Data Innovation in the NBA</w:t>
      </w:r>
    </w:p>
    <w:p w14:paraId="15958900" w14:textId="77777777" w:rsidR="000671D2" w:rsidRPr="000671D2" w:rsidRDefault="000671D2" w:rsidP="000671D2">
      <w:pPr>
        <w:ind w:firstLine="720"/>
        <w:rPr>
          <w:rFonts w:ascii="Times New Roman" w:hAnsi="Times New Roman" w:cs="Times New Roman"/>
          <w:bCs/>
        </w:rPr>
      </w:pPr>
      <w:r w:rsidRPr="000671D2">
        <w:rPr>
          <w:rFonts w:ascii="Times New Roman" w:hAnsi="Times New Roman" w:cs="Times New Roman"/>
          <w:bCs/>
        </w:rPr>
        <w:t>Player load management has emerged as a prevalent concern within the NBA organization, eliciting frustration from fans who invest substantial sums to watch their favorite players only to discover they are sitting out due to "player load management." To address this issue, teams can harness in-game data alongside key physical metrics gathered from devices like Catapult during practice sessions. This approach can optimize player workload during games and practices, ensuring that star players remain available for matches, barring injuries.</w:t>
      </w:r>
    </w:p>
    <w:p w14:paraId="24B58D88" w14:textId="77777777" w:rsidR="000671D2" w:rsidRPr="000671D2" w:rsidRDefault="000671D2" w:rsidP="000671D2">
      <w:pPr>
        <w:ind w:firstLine="720"/>
        <w:rPr>
          <w:rFonts w:ascii="Times New Roman" w:hAnsi="Times New Roman" w:cs="Times New Roman"/>
          <w:bCs/>
        </w:rPr>
      </w:pPr>
      <w:r w:rsidRPr="000671D2">
        <w:rPr>
          <w:rFonts w:ascii="Times New Roman" w:hAnsi="Times New Roman" w:cs="Times New Roman"/>
          <w:bCs/>
        </w:rPr>
        <w:t>Leveraging analytics in this manner empowers teams to maximize player performance while minimizing the risk of fatigue-related injuries. To tackle this problem, teams can employ advanced analytics to monitor player load using a combination of data points, including minutes played, practice intensity metrics from products like Catapult, travel schedules, and game schedules. By accurately assessing player workload, teams can predict and adjust it in preparation for and during games. This involves creating predictive models based on players' historical data, analyzing their biometrics, considering other recovery factors, and evaluating past fatigue-related injuries that may have caused them to miss games. Teams can then use this data to develop player-specific load management plans tailored to each player's unique needs and injury history.</w:t>
      </w:r>
    </w:p>
    <w:p w14:paraId="64036DA6" w14:textId="77777777" w:rsidR="000671D2" w:rsidRPr="000671D2" w:rsidRDefault="000671D2" w:rsidP="000671D2">
      <w:pPr>
        <w:ind w:firstLine="720"/>
        <w:rPr>
          <w:rFonts w:ascii="Times New Roman" w:hAnsi="Times New Roman" w:cs="Times New Roman"/>
          <w:bCs/>
        </w:rPr>
      </w:pPr>
      <w:r w:rsidRPr="000671D2">
        <w:rPr>
          <w:rFonts w:ascii="Times New Roman" w:hAnsi="Times New Roman" w:cs="Times New Roman"/>
          <w:bCs/>
        </w:rPr>
        <w:t>One essential aspect of this approach is the ability to continually assess its effectiveness and adapt these plans over time. As more data is collected and analyzed, load management strategies become increasingly accurate and efficient.</w:t>
      </w:r>
    </w:p>
    <w:p w14:paraId="729271F0" w14:textId="77777777" w:rsidR="000671D2" w:rsidRPr="000671D2" w:rsidRDefault="000671D2" w:rsidP="000671D2">
      <w:pPr>
        <w:ind w:firstLine="720"/>
        <w:rPr>
          <w:rFonts w:ascii="Times New Roman" w:hAnsi="Times New Roman" w:cs="Times New Roman"/>
          <w:bCs/>
        </w:rPr>
      </w:pPr>
      <w:r w:rsidRPr="000671D2">
        <w:rPr>
          <w:rFonts w:ascii="Times New Roman" w:hAnsi="Times New Roman" w:cs="Times New Roman"/>
          <w:bCs/>
        </w:rPr>
        <w:t>The implementation of analytics-driven player load management offers immediate benefits to both the team and the analytics group. These include injury prevention, enhanced player performance, and a competitive edge. When key players consistently avoid injury throughout the season, the team's chances of winning increase significantly. Furthermore, efficient resource allocation and long-term player development can become more manageable for the support staff, fostering a more cohesive organization.</w:t>
      </w:r>
    </w:p>
    <w:p w14:paraId="7729EEF5" w14:textId="77777777" w:rsidR="000671D2" w:rsidRPr="000671D2" w:rsidRDefault="000671D2" w:rsidP="000671D2">
      <w:pPr>
        <w:ind w:firstLine="720"/>
        <w:rPr>
          <w:rFonts w:ascii="Times New Roman" w:hAnsi="Times New Roman" w:cs="Times New Roman"/>
          <w:bCs/>
        </w:rPr>
      </w:pPr>
      <w:r w:rsidRPr="000671D2">
        <w:rPr>
          <w:rFonts w:ascii="Times New Roman" w:hAnsi="Times New Roman" w:cs="Times New Roman"/>
          <w:bCs/>
        </w:rPr>
        <w:t>Despite its potential, this approach faces certain challenges. Ensuring the accuracy of load data is paramount, as small discrepancies can lead to varying workload decisions for practice or games. Additionally, securing buy-in from coaches is critical, as they must follow the data-driven storyline. Lastly, monitoring the reliability of the predictive model over time is essential to validate the value of analyzing player workload data.</w:t>
      </w:r>
    </w:p>
    <w:p w14:paraId="1EC12710" w14:textId="77777777" w:rsidR="000671D2" w:rsidRPr="000671D2" w:rsidRDefault="000671D2" w:rsidP="000671D2">
      <w:pPr>
        <w:ind w:firstLine="720"/>
        <w:rPr>
          <w:rFonts w:ascii="Times New Roman" w:hAnsi="Times New Roman" w:cs="Times New Roman"/>
          <w:bCs/>
        </w:rPr>
      </w:pPr>
      <w:r w:rsidRPr="000671D2">
        <w:rPr>
          <w:rFonts w:ascii="Times New Roman" w:hAnsi="Times New Roman" w:cs="Times New Roman"/>
          <w:bCs/>
        </w:rPr>
        <w:t>In conclusion, analytics-driven player load management holds promise as a path for NBA teams to optimize player performance while minimizing injury risks. This approach represents a positive, data-driven strategy that has the potential to revolutionize how NBA teams manage their players, ultimately leading to improved team success and player well-being. By combining advanced analytics with real-time data and player-specific plans, teams can work towards a more balanced and sustainable approach to player load management, benefiting both fans and players alike.</w:t>
      </w:r>
    </w:p>
    <w:p w14:paraId="715C150A" w14:textId="4082E0EC" w:rsidR="00AE4290" w:rsidRPr="000D43A6" w:rsidRDefault="00AE4290" w:rsidP="00AE4290">
      <w:pPr>
        <w:rPr>
          <w:rFonts w:ascii="Times New Roman" w:hAnsi="Times New Roman" w:cs="Times New Roman"/>
          <w:bCs/>
        </w:rPr>
      </w:pPr>
    </w:p>
    <w:sectPr w:rsidR="00AE4290" w:rsidRPr="000D43A6" w:rsidSect="009812CC">
      <w:headerReference w:type="even" r:id="rId19"/>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9-29T13:02:00Z" w:initials="MOU">
    <w:p w14:paraId="473ADF76" w14:textId="77777777" w:rsidR="009A7AAA" w:rsidRDefault="009A7AAA" w:rsidP="00537ABC">
      <w:r>
        <w:rPr>
          <w:rStyle w:val="CommentReference"/>
        </w:rPr>
        <w:annotationRef/>
      </w:r>
      <w:r>
        <w:rPr>
          <w:color w:val="000000"/>
          <w:sz w:val="20"/>
          <w:szCs w:val="20"/>
        </w:rPr>
        <w:t>Make more sense to use bullets here to address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ADF7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6C676C3" w16cex:dateUtc="2023-09-29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ADF76" w16cid:durableId="76C676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1379F" w14:textId="77777777" w:rsidR="00055E60" w:rsidRDefault="00055E60" w:rsidP="00323162">
      <w:pPr>
        <w:spacing w:line="240" w:lineRule="auto"/>
      </w:pPr>
      <w:r>
        <w:separator/>
      </w:r>
    </w:p>
  </w:endnote>
  <w:endnote w:type="continuationSeparator" w:id="0">
    <w:p w14:paraId="71D5DF21" w14:textId="77777777" w:rsidR="00055E60" w:rsidRDefault="00055E60" w:rsidP="0032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5ADC4" w14:textId="77777777" w:rsidR="00055E60" w:rsidRDefault="00055E60" w:rsidP="00323162">
      <w:pPr>
        <w:spacing w:line="240" w:lineRule="auto"/>
      </w:pPr>
      <w:r>
        <w:separator/>
      </w:r>
    </w:p>
  </w:footnote>
  <w:footnote w:type="continuationSeparator" w:id="0">
    <w:p w14:paraId="4E9F5298" w14:textId="77777777" w:rsidR="00055E60" w:rsidRDefault="00055E60" w:rsidP="00323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706592"/>
      <w:docPartObj>
        <w:docPartGallery w:val="Page Numbers (Top of Page)"/>
        <w:docPartUnique/>
      </w:docPartObj>
    </w:sdtPr>
    <w:sdtContent>
      <w:p w14:paraId="0546A31B" w14:textId="555C944B" w:rsidR="00323162" w:rsidRDefault="00323162" w:rsidP="00BD01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89BDE3" w14:textId="77777777" w:rsidR="00323162" w:rsidRDefault="00323162" w:rsidP="003231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8C8" w14:textId="588D426B" w:rsidR="00323162" w:rsidRPr="00323162" w:rsidRDefault="00323162" w:rsidP="00BD0172">
    <w:pPr>
      <w:pStyle w:val="Header"/>
      <w:framePr w:wrap="none" w:vAnchor="text" w:hAnchor="margin" w:xAlign="right" w:y="1"/>
      <w:rPr>
        <w:rStyle w:val="PageNumber"/>
        <w:rFonts w:ascii="Times New Roman" w:hAnsi="Times New Roman" w:cs="Times New Roman"/>
      </w:rPr>
    </w:pPr>
    <w:r w:rsidRPr="00323162">
      <w:rPr>
        <w:rStyle w:val="PageNumber"/>
        <w:rFonts w:ascii="Times New Roman" w:hAnsi="Times New Roman" w:cs="Times New Roman"/>
      </w:rPr>
      <w:t xml:space="preserve">Breckenridge </w:t>
    </w:r>
    <w:sdt>
      <w:sdtPr>
        <w:rPr>
          <w:rStyle w:val="PageNumber"/>
          <w:rFonts w:ascii="Times New Roman" w:hAnsi="Times New Roman" w:cs="Times New Roman"/>
        </w:rPr>
        <w:id w:val="-511916239"/>
        <w:docPartObj>
          <w:docPartGallery w:val="Page Numbers (Top of Page)"/>
          <w:docPartUnique/>
        </w:docPartObj>
      </w:sdtPr>
      <w:sdtContent>
        <w:r w:rsidRPr="00323162">
          <w:rPr>
            <w:rStyle w:val="PageNumber"/>
            <w:rFonts w:ascii="Times New Roman" w:hAnsi="Times New Roman" w:cs="Times New Roman"/>
          </w:rPr>
          <w:fldChar w:fldCharType="begin"/>
        </w:r>
        <w:r w:rsidRPr="00323162">
          <w:rPr>
            <w:rStyle w:val="PageNumber"/>
            <w:rFonts w:ascii="Times New Roman" w:hAnsi="Times New Roman" w:cs="Times New Roman"/>
          </w:rPr>
          <w:instrText xml:space="preserve"> PAGE </w:instrText>
        </w:r>
        <w:r w:rsidRPr="00323162">
          <w:rPr>
            <w:rStyle w:val="PageNumber"/>
            <w:rFonts w:ascii="Times New Roman" w:hAnsi="Times New Roman" w:cs="Times New Roman"/>
          </w:rPr>
          <w:fldChar w:fldCharType="separate"/>
        </w:r>
        <w:r w:rsidRPr="00323162">
          <w:rPr>
            <w:rStyle w:val="PageNumber"/>
            <w:rFonts w:ascii="Times New Roman" w:hAnsi="Times New Roman" w:cs="Times New Roman"/>
            <w:noProof/>
          </w:rPr>
          <w:t>1</w:t>
        </w:r>
        <w:r w:rsidRPr="00323162">
          <w:rPr>
            <w:rStyle w:val="PageNumber"/>
            <w:rFonts w:ascii="Times New Roman" w:hAnsi="Times New Roman" w:cs="Times New Roman"/>
          </w:rPr>
          <w:fldChar w:fldCharType="end"/>
        </w:r>
      </w:sdtContent>
    </w:sdt>
  </w:p>
  <w:p w14:paraId="103C1BE5" w14:textId="77777777" w:rsidR="00323162" w:rsidRPr="00323162" w:rsidRDefault="00323162" w:rsidP="00323162">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D4382"/>
    <w:multiLevelType w:val="hybridMultilevel"/>
    <w:tmpl w:val="D98E9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5581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7F"/>
    <w:rsid w:val="00055E60"/>
    <w:rsid w:val="000671D2"/>
    <w:rsid w:val="000D43A6"/>
    <w:rsid w:val="00135DBD"/>
    <w:rsid w:val="001D0F4B"/>
    <w:rsid w:val="00323162"/>
    <w:rsid w:val="00537A68"/>
    <w:rsid w:val="005472AC"/>
    <w:rsid w:val="00565E89"/>
    <w:rsid w:val="005A5663"/>
    <w:rsid w:val="005C4A0C"/>
    <w:rsid w:val="00663A48"/>
    <w:rsid w:val="0082017E"/>
    <w:rsid w:val="00925EF3"/>
    <w:rsid w:val="009812CC"/>
    <w:rsid w:val="009A7AAA"/>
    <w:rsid w:val="00AE4290"/>
    <w:rsid w:val="00B361FF"/>
    <w:rsid w:val="00BB3791"/>
    <w:rsid w:val="00C92F7B"/>
    <w:rsid w:val="00CE35BA"/>
    <w:rsid w:val="00D8335D"/>
    <w:rsid w:val="00DE4C9C"/>
    <w:rsid w:val="00E10273"/>
    <w:rsid w:val="00EE0A7F"/>
    <w:rsid w:val="00F32DCC"/>
    <w:rsid w:val="00F34720"/>
    <w:rsid w:val="00F67AC9"/>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4E4EB"/>
  <w15:chartTrackingRefBased/>
  <w15:docId w15:val="{E5898E2F-5EC9-7C42-BC4D-01C96367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162"/>
    <w:pPr>
      <w:tabs>
        <w:tab w:val="center" w:pos="4680"/>
        <w:tab w:val="right" w:pos="9360"/>
      </w:tabs>
      <w:spacing w:line="240" w:lineRule="auto"/>
    </w:pPr>
  </w:style>
  <w:style w:type="character" w:customStyle="1" w:styleId="HeaderChar">
    <w:name w:val="Header Char"/>
    <w:basedOn w:val="DefaultParagraphFont"/>
    <w:link w:val="Header"/>
    <w:uiPriority w:val="99"/>
    <w:rsid w:val="00323162"/>
  </w:style>
  <w:style w:type="paragraph" w:styleId="Footer">
    <w:name w:val="footer"/>
    <w:basedOn w:val="Normal"/>
    <w:link w:val="FooterChar"/>
    <w:uiPriority w:val="99"/>
    <w:unhideWhenUsed/>
    <w:rsid w:val="00323162"/>
    <w:pPr>
      <w:tabs>
        <w:tab w:val="center" w:pos="4680"/>
        <w:tab w:val="right" w:pos="9360"/>
      </w:tabs>
      <w:spacing w:line="240" w:lineRule="auto"/>
    </w:pPr>
  </w:style>
  <w:style w:type="character" w:customStyle="1" w:styleId="FooterChar">
    <w:name w:val="Footer Char"/>
    <w:basedOn w:val="DefaultParagraphFont"/>
    <w:link w:val="Footer"/>
    <w:uiPriority w:val="99"/>
    <w:rsid w:val="00323162"/>
  </w:style>
  <w:style w:type="character" w:styleId="PageNumber">
    <w:name w:val="page number"/>
    <w:basedOn w:val="DefaultParagraphFont"/>
    <w:uiPriority w:val="99"/>
    <w:semiHidden/>
    <w:unhideWhenUsed/>
    <w:rsid w:val="00323162"/>
  </w:style>
  <w:style w:type="character" w:styleId="CommentReference">
    <w:name w:val="annotation reference"/>
    <w:basedOn w:val="DefaultParagraphFont"/>
    <w:uiPriority w:val="99"/>
    <w:semiHidden/>
    <w:unhideWhenUsed/>
    <w:rsid w:val="009A7AAA"/>
    <w:rPr>
      <w:sz w:val="16"/>
      <w:szCs w:val="16"/>
    </w:rPr>
  </w:style>
  <w:style w:type="paragraph" w:styleId="CommentText">
    <w:name w:val="annotation text"/>
    <w:basedOn w:val="Normal"/>
    <w:link w:val="CommentTextChar"/>
    <w:uiPriority w:val="99"/>
    <w:semiHidden/>
    <w:unhideWhenUsed/>
    <w:rsid w:val="009A7AAA"/>
    <w:pPr>
      <w:spacing w:line="240" w:lineRule="auto"/>
    </w:pPr>
    <w:rPr>
      <w:sz w:val="20"/>
      <w:szCs w:val="20"/>
    </w:rPr>
  </w:style>
  <w:style w:type="character" w:customStyle="1" w:styleId="CommentTextChar">
    <w:name w:val="Comment Text Char"/>
    <w:basedOn w:val="DefaultParagraphFont"/>
    <w:link w:val="CommentText"/>
    <w:uiPriority w:val="99"/>
    <w:semiHidden/>
    <w:rsid w:val="009A7AAA"/>
    <w:rPr>
      <w:sz w:val="20"/>
      <w:szCs w:val="20"/>
    </w:rPr>
  </w:style>
  <w:style w:type="paragraph" w:styleId="CommentSubject">
    <w:name w:val="annotation subject"/>
    <w:basedOn w:val="CommentText"/>
    <w:next w:val="CommentText"/>
    <w:link w:val="CommentSubjectChar"/>
    <w:uiPriority w:val="99"/>
    <w:semiHidden/>
    <w:unhideWhenUsed/>
    <w:rsid w:val="009A7AAA"/>
    <w:rPr>
      <w:b/>
      <w:bCs/>
    </w:rPr>
  </w:style>
  <w:style w:type="character" w:customStyle="1" w:styleId="CommentSubjectChar">
    <w:name w:val="Comment Subject Char"/>
    <w:basedOn w:val="CommentTextChar"/>
    <w:link w:val="CommentSubject"/>
    <w:uiPriority w:val="99"/>
    <w:semiHidden/>
    <w:rsid w:val="009A7AAA"/>
    <w:rPr>
      <w:b/>
      <w:bCs/>
      <w:sz w:val="20"/>
      <w:szCs w:val="20"/>
    </w:rPr>
  </w:style>
  <w:style w:type="table" w:styleId="TableGrid">
    <w:name w:val="Table Grid"/>
    <w:basedOn w:val="TableNormal"/>
    <w:uiPriority w:val="39"/>
    <w:rsid w:val="009A7A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5663"/>
    <w:pPr>
      <w:ind w:left="720"/>
      <w:contextualSpacing/>
    </w:pPr>
  </w:style>
  <w:style w:type="paragraph" w:styleId="NormalWeb">
    <w:name w:val="Normal (Web)"/>
    <w:basedOn w:val="Normal"/>
    <w:uiPriority w:val="99"/>
    <w:semiHidden/>
    <w:unhideWhenUsed/>
    <w:rsid w:val="000671D2"/>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2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07/relationships/hdphoto" Target="media/hdphoto4.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microsoft.com/office/2007/relationships/hdphoto" Target="media/hdphoto1.wdp"/><Relationship Id="rId17" Type="http://schemas.openxmlformats.org/officeDocument/2006/relationships/image" Target="media/image4.png"/><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07/relationships/hdphoto" Target="media/hdphoto2.wdp"/><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2023-09-28T19:40:00Z</dcterms:created>
  <dcterms:modified xsi:type="dcterms:W3CDTF">2023-09-30T13:30:00Z</dcterms:modified>
</cp:coreProperties>
</file>