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B8A"/>
          <w:sz w:val="28"/>
          <w:szCs w:val="28"/>
        </w:rPr>
        <w:t xml:space="preserve">Rainbow Platform</w:t>
      </w:r>
    </w:p>
    <w:p>
      <w:r>
        <w:rPr>
          <w:b/>
          <w:bCs/>
          <w:sz w:val="36"/>
          <w:szCs w:val="36"/>
        </w:rPr>
        <w:t xml:space="preserve">Phase 11D — Internalize Remaining Intake Automation &amp; Retire Standalone Dependency</w:t>
      </w:r>
    </w:p>
    <w:p>
      <w:pPr>
        <w:pBdr>
          <w:bottom w:val="single" w:color="2E5B8A" w:sz="6" w:space="1"/>
        </w:pBdr>
        <w:spacing w:after="160"/>
      </w:pPr>
      <w:r>
        <w:rPr>
          <w:i/>
          <w:iCs/>
          <w:color w:val="555555"/>
        </w:rPr>
        <w:t xml:space="preserve">Completion Report · July 6, 2026</w:t>
      </w:r>
    </w:p>
    <w:p>
      <w:pPr>
        <w:pStyle w:val="Heading1"/>
      </w:pPr>
      <w:r>
        <w:t xml:space="preserve">1. Summary</w:t>
      </w:r>
    </w:p>
    <w:p>
      <w:pPr>
        <w:spacing w:after="120"/>
      </w:pPr>
      <w:r>
        <w:t xml:space="preserve">Phase 11D removes the remaining operational dependency on the standalone insurance-intake-automation web app for normal dashboard use. The intake automation-grid cards — the main intake process, the vendor (Asbestos / Itel) attachment runs, and the manual retry actions — now execute in-process on the Automation Dashboard through a thin dispatch layer, instead of making an HTTP call to the standalone web app. The standalone project remains deployed and reachable as the rollback path. This is an ownership/plumbing migration, not a redesign: no intake business logic, retry behavior, Claims Service, EOJ, or lifecycle logic was changed.</w:t>
      </w:r>
    </w:p>
    <w:p>
      <w:pPr>
        <w:spacing w:after="120"/>
      </w:pPr>
      <w:r>
        <w:rPr>
          <w:i/>
          <w:iCs/>
        </w:rPr>
        <w:t xml:space="preserve">The reads (Queue Health, Diagnostics, Pending Folder Inspection) were already internal from Phase 11B, and the old standalone caller (fetchIntakeServiceJson_) has no remaining callers. After 11D, the standalone web app is only used by the scheduled retry triggers (still hosted there by design), the two trigger-management grid cards, and the fallback path.</w:t>
      </w:r>
    </w:p>
    <w:p>
      <w:pPr>
        <w:pStyle w:val="Heading1"/>
      </w:pPr>
      <w:r>
        <w:t xml:space="preserve">2. Files Modified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automation-dashboard/Code.js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Added the dispatch layer above runAutomation: runDashboardAutomation (entry point), runInternalIntakeAutomation_ (grid-shaped in-process runner mirroring runAutomation / the 11B runIntakeModuleProcess_), isInternalIntakeModuleEnabled_ (rollback flag reader), and the INTERNAL_INTAKE_AUTOMATION_RUNNERS map. Shared runAutomation is unchanged.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automation-dashboard/Index.html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One line: the grid's server call .runAutomation(id) → .runDashboardAutomation(id).</w:t>
            </w:r>
          </w:p>
        </w:tc>
      </w:tr>
    </w:tbl>
    <w:p>
      <w:pPr>
        <w:spacing w:after="120"/>
      </w:pPr>
      <w:r>
        <w:rPr>
          <w:i/>
          <w:iCs/>
        </w:rPr>
        <w:t xml:space="preserve">No other files changed. Claims Service, EOJ, IntakeModule business logic, OAuth scopes, and the standalone project were not touched.</w:t>
      </w:r>
    </w:p>
    <w:p>
      <w:pPr>
        <w:pStyle w:val="Heading1"/>
      </w:pPr>
      <w:r>
        <w:t xml:space="preserve">3. Automation IDs Internalized</w:t>
      </w:r>
    </w:p>
    <w:p>
      <w:pPr>
        <w:spacing w:after="120"/>
      </w:pPr>
      <w:r>
        <w:t xml:space="preserve">These grid cards now run in-process when USE_INTERNAL_INTAKE_MODULE is on. Their registry entries (including webAppUrl) were left intact so the fallback path still 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insurance-intake-automation</w:t>
      </w:r>
      <w:r>
        <w:t xml:space="preserve"> → processInsuranceIntake()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asbestos-attachment-intake</w:t>
      </w:r>
      <w:r>
        <w:t xml:space="preserve"> → processAsbestosAttachments()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itel-attachment-intake</w:t>
      </w:r>
      <w:r>
        <w:t xml:space="preserve"> → processItelAttachments()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retry-insurance-intake</w:t>
      </w:r>
      <w:r>
        <w:t xml:space="preserve"> → scheduledRetryInsuranceIntake()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retry-asbestos-intake</w:t>
      </w:r>
      <w:r>
        <w:t xml:space="preserve"> → scheduledRetryAsbestos()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retry-itel-intake</w:t>
      </w:r>
      <w:r>
        <w:t xml:space="preserve"> → scheduledRetryItel()</w:t>
      </w:r>
    </w:p>
    <w:p>
      <w:pPr>
        <w:spacing w:after="120"/>
      </w:pPr>
      <w:r>
        <w:t xml:space="preserve">Deliberately NOT internalized: setup-retry-triggers and delete-retry-triggers (see §5). Non-intake automation cards are unaffected — they pass through runDashboardAutomation to the unchanged runAutomation.</w:t>
      </w:r>
    </w:p>
    <w:p>
      <w:pPr>
        <w:pStyle w:val="Heading1"/>
      </w:pPr>
      <w:r>
        <w:t xml:space="preserve">4. Dispatch &amp; Return-Shape Contract</w:t>
      </w:r>
    </w:p>
    <w:p>
      <w:pPr>
        <w:spacing w:after="120"/>
      </w:pPr>
      <w:r>
        <w:t xml:space="preserve">runDashboardAutomation is the single entry point the grid calls. For an intake automation with an internal runner and the flag on, it runs in-process; otherwise it passes through to runAutomation. Both branches return the identical grid record shape { id, name, category, lastRunTime, lastStatus, lastMessage, message, durationMs, rawResponse } and append to the Automation Run Log the same way, so the grid renders and logs identically.</w:t>
      </w:r>
    </w:p>
    <w:p>
      <w:pPr>
        <w:pBdr>
          <w:left w:val="single" w:color="2E5B8A" w:sz="12" w:space="8"/>
        </w:pBdr>
        <w:shd w:fill="F2F4F7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grid card click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|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runDashboardAutomation(id)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|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internal runner?  --no--&gt;  runAutomation(id)  --&gt;  standalone web app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&amp; flag on?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| yes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runInternalIntakeAutomation_(id, processFn)  --&gt;  in-process module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|  (on unexpected throw)  --&gt; runAutomation(id)  [auto fallback]</w:t>
      </w:r>
    </w:p>
    <w:p>
      <w:pPr>
        <w:pStyle w:val="Heading1"/>
      </w:pPr>
      <w:r>
        <w:t xml:space="preserve">5. Retry / Scheduler Status</w:t>
      </w:r>
    </w:p>
    <w:p>
      <w:pPr>
        <w:spacing w:after="120"/>
      </w:pPr>
      <w:r>
        <w:t xml:space="preserve">Manual/generic-grid retries are internalized. The scheduled retry triggers remain on the standalone project this phase: the standalone's own setupRetryTriggers already creates them there, so creating them again from the dashboard would produce a duplicate set (double-processing the same Gmail retry threads). Scheduler retirement is deferred to Phase 11E. Manual internal retries and the standalone scheduled retries share the same Gmail state and the same retry-attempt guards, so no new duplication is introduced.</w:t>
      </w:r>
    </w:p>
    <w:p>
      <w:pPr>
        <w:pStyle w:val="Heading1"/>
      </w:pPr>
      <w:r>
        <w:t xml:space="preserve">6. Remaining Standalone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Dependency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Scheduled retry triggers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Live on the standalone project — retained (avoids duplicate triggers). Retire in 11E.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setup-retry-triggers / delete-retry-triggers grid cards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Still call standalone. Left as-is to keep trigger management in one place until 11E.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Fallback path (flag off or internal throw)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Uses standalone webAppUrl via runAutomation. Retained for rollback.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Standalone project deployment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Remains deployed as the rollback target. Not retired.</w:t>
            </w:r>
          </w:p>
        </w:tc>
      </w:tr>
    </w:tbl>
    <w:p>
      <w:pPr>
        <w:pStyle w:val="Heading1"/>
      </w:pPr>
      <w:r>
        <w:t xml:space="preserve">7. Rollback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Instant: set Script Property </w:t>
      </w:r>
      <w:r>
        <w:rPr>
          <w:rFonts w:ascii="Consolas" w:cs="Consolas" w:eastAsia="Consolas" w:hAnsi="Consolas"/>
          <w:sz w:val="20"/>
          <w:szCs w:val="20"/>
        </w:rPr>
        <w:t xml:space="preserve">USE_INTERNAL_INTAKE_MODULE=false</w:t>
      </w:r>
      <w:r>
        <w:t xml:space="preserve"> — all intake automations revert to the standalone path. Default is true (Phase 11B verified live).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Automatic: if an internal runner throws unexpectedly, dispatch falls back to runAutomation (standalone) for that run.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Full: git-revert the 11D commit; the standalone project remains deployed and authoritative.</w:t>
      </w:r>
    </w:p>
    <w:p>
      <w:pPr>
        <w:pStyle w:val="Heading1"/>
      </w:pPr>
      <w:r>
        <w:t xml:space="preserve">8. Verification Checklist</w:t>
      </w:r>
    </w:p>
    <w:p>
      <w:pPr>
        <w:spacing w:after="120"/>
      </w:pPr>
      <w:r>
        <w:t xml:space="preserve">Run after clasp push + web-app redeploy (the pinned-deployment gotcha applies — use the /dev URL to confirm latest code):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Intake Workspace loads; Run Intake, Queue Health, Diagnostics, Pending Folder Inspection all 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three grid retry cards run in-process and appear in the Automation Run 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Non-intake automation cards still work via runAutomation.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new direct Claims DB writes; </w:t>
      </w:r>
      <w:r>
        <w:rPr>
          <w:rFonts w:ascii="Consolas" w:cs="Consolas" w:eastAsia="Consolas" w:hAnsi="Consolas"/>
          <w:sz w:val="20"/>
          <w:szCs w:val="20"/>
        </w:rPr>
        <w:t xml:space="preserve">USE_CLAIMS_SERVICE_EXTERNAL_LINKS</w:t>
      </w:r>
      <w:r>
        <w:t xml:space="preserve"> remains true; Claims Service fallback intact.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Toggling </w:t>
      </w:r>
      <w:r>
        <w:rPr>
          <w:rFonts w:ascii="Consolas" w:cs="Consolas" w:eastAsia="Consolas" w:hAnsi="Consolas"/>
          <w:sz w:val="20"/>
          <w:szCs w:val="20"/>
        </w:rPr>
        <w:t xml:space="preserve">USE_INTERNAL_INTAKE_MODULE=false</w:t>
      </w:r>
      <w:r>
        <w:t xml:space="preserve"> returns to the standalone path; standalone remains available for rollback.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compiles (node --check clean); runAutomation confirmed unmodified.</w:t>
      </w:r>
    </w:p>
    <w:p>
      <w:pPr>
        <w:pStyle w:val="Heading1"/>
      </w:pPr>
      <w:r>
        <w:t xml:space="preserve">9. Recommended Next Phase (11E)</w:t>
      </w:r>
    </w:p>
    <w:p>
      <w:pPr>
        <w:spacing w:after="120"/>
      </w:pPr>
      <w:r>
        <w:t xml:space="preserve">Gated on production verification of 11D: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Retire the scheduled retry triggers from standalone; recreate them on the dashboard, then internalize setup-/delete-retry-triggers.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Strip </w:t>
      </w:r>
      <w:r>
        <w:rPr>
          <w:rFonts w:ascii="Consolas" w:cs="Consolas" w:eastAsia="Consolas" w:hAnsi="Consolas"/>
          <w:sz w:val="20"/>
          <w:szCs w:val="20"/>
        </w:rPr>
        <w:t xml:space="preserve">webAppUrl</w:t>
      </w:r>
      <w:r>
        <w:t xml:space="preserve"> from the intake registry entries and remove the dead </w:t>
      </w:r>
      <w:r>
        <w:rPr>
          <w:rFonts w:ascii="Consolas" w:cs="Consolas" w:eastAsia="Consolas" w:hAnsi="Consolas"/>
          <w:sz w:val="20"/>
          <w:szCs w:val="20"/>
        </w:rPr>
        <w:t xml:space="preserve">fetchIntakeServiceJson_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the temp helpers (</w:t>
      </w:r>
      <w:r>
        <w:rPr>
          <w:rFonts w:ascii="Consolas" w:cs="Consolas" w:eastAsia="Consolas" w:hAnsi="Consolas"/>
          <w:sz w:val="20"/>
          <w:szCs w:val="20"/>
        </w:rPr>
        <w:t xml:space="preserve">IntakeModule_Phase11BSetup.js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IntakeModule_Phase11BDiag.js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Phase11C_TemporaryHelpers.js</w:t>
      </w:r>
      <w:r>
        <w:t xml:space="preserve">) once their properties/flip are confirmed.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Retire the standalone project and delete the Phase 11C direct-write fallbacks — the final consolidation step.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E5B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2026-07-06T19:38:33.649Z</dcterms:created>
  <dcterms:modified xsi:type="dcterms:W3CDTF">2026-07-06T19:38:33.650Z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