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B8A"/>
          <w:sz w:val="28"/>
          <w:szCs w:val="28"/>
        </w:rPr>
        <w:t xml:space="preserve">Rainbow Platform</w:t>
      </w:r>
    </w:p>
    <w:p>
      <w:r>
        <w:rPr>
          <w:b/>
          <w:bCs/>
          <w:sz w:val="40"/>
          <w:szCs w:val="40"/>
        </w:rPr>
        <w:t xml:space="preserve">Phase 11C — Claims Service Becomes the Sole Owner of External Links</w:t>
      </w:r>
    </w:p>
    <w:p>
      <w:pPr>
        <w:pBdr>
          <w:bottom w:val="single" w:color="2E5B8A" w:sz="6" w:space="1"/>
        </w:pBdr>
        <w:spacing w:after="160"/>
      </w:pPr>
      <w:r>
        <w:rPr>
          <w:i/>
          <w:iCs/>
          <w:color w:val="555555"/>
        </w:rPr>
        <w:t xml:space="preserve">Completion Report · July 6, 2026</w:t>
      </w:r>
    </w:p>
    <w:p>
      <w:pPr>
        <w:pStyle w:val="Heading1"/>
      </w:pPr>
      <w:r>
        <w:t xml:space="preserve">1. Migration Summary</w:t>
      </w:r>
    </w:p>
    <w:p>
      <w:pPr>
        <w:spacing w:after="120"/>
      </w:pPr>
      <w:r>
        <w:t xml:space="preserve">Phase 11C removes the last direct Claims Database writes performed by the Insurance Intake module. External_Links write ownership now belongs entirely to Claims Service; Insurance Intake becomes a client that submits link events through the Claims Service API. This is an ownership migration and architectural cleanup, not a redesign — every intake behavior is preserved and rollback remains available.</w:t>
      </w:r>
    </w:p>
    <w:p>
      <w:pPr>
        <w:spacing w:after="120"/>
      </w:pPr>
      <w:r>
        <w:t xml:space="preserve">The intake pipeline write was already flag-gated from Phase 11B and only needed a parity fix. The material new work in 11C was converting the second, previously-overlooked direct writer — the Intake Workspace “add operational link” feature — to route through the same Claims Service path. With both writers converted, Claims Service is the sole writer of the External_Links table for the intake surface.</w:t>
      </w:r>
    </w:p>
    <w:p>
      <w:pPr>
        <w:pStyle w:val="Heading2"/>
      </w:pPr>
      <w:r>
        <w:t xml:space="preserve">What ownership 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rFonts w:ascii="Arial" w:cs="Arial" w:eastAsia="Arial" w:hAnsi="Arial"/>
                <w:b/>
                <w:bCs/>
                <w:color w:val="FFFFFF"/>
                <w:sz w:val="22"/>
                <w:szCs w:val="22"/>
              </w:rPr>
              <w:t xml:space="preserve">Concern</w:t>
            </w:r>
          </w:p>
        </w:tc>
        <w:tc>
          <w:tcPr>
            <w:tcW w:type="dxa" w:w="312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rFonts w:ascii="Arial" w:cs="Arial" w:eastAsia="Arial" w:hAnsi="Arial"/>
                <w:b/>
                <w:bCs/>
                <w:color w:val="FFFFFF"/>
                <w:sz w:val="22"/>
                <w:szCs w:val="22"/>
              </w:rPr>
              <w:t xml:space="preserve">Before 11C</w:t>
            </w:r>
          </w:p>
        </w:tc>
        <w:tc>
          <w:tcPr>
            <w:tcW w:type="dxa" w:w="312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rFonts w:ascii="Arial" w:cs="Arial" w:eastAsia="Arial" w:hAnsi="Arial"/>
                <w:b/>
                <w:bCs/>
                <w:color w:val="FFFFFF"/>
                <w:sz w:val="22"/>
                <w:szCs w:val="22"/>
              </w:rPr>
              <w:t xml:space="preserve">After 11C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External_Links write (intake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Direct sheet write, flag-gated (shadow)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Claims Service primary; direct write is automatic fallback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External_Links write (operational-link 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Direct sheet write, always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Claims Service primary; direct write is automatic fallback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Claim-number fallback guard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Direct path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Applied in the Claims Service payload on both paths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Duplicate detection / reads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Intake side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Intake side (unchanged; read-only, deferred cleanup)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Direct writers 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Retained as automatic fallback + flag revert</w:t>
            </w:r>
          </w:p>
        </w:tc>
      </w:tr>
    </w:tbl>
    <w:p>
      <w:pPr>
        <w:pStyle w:val="Heading1"/>
      </w:pPr>
      <w:r>
        <w:t xml:space="preserve">2.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596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rFonts w:ascii="Arial" w:cs="Arial" w:eastAsia="Arial" w:hAnsi="Arial"/>
                <w:b/>
                <w:bCs/>
                <w:color w:val="FFFFFF"/>
                <w:sz w:val="22"/>
                <w:szCs w:val="22"/>
              </w:rPr>
              <w:t xml:space="preserve">Change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automation-dashboard/IntakeModule_Code.js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buildClaimsServiceExternalLinksPayload_ now applies the isRealIntakeClaimNumber_ guard, so a job-number fallback is never sent to Claims Service as a Claim Number. Closes the shadow-parity gap before go-live. Request contract otherwise unchanged.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automation-dashboard/Code.js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saveIntakeOperationalLink now writes through a new flag-gated router saveIntakeOperationalLinkWrite_ instead of appending to the Claims DB directly. Added buildClaimsServiceOperationalLinkPayload_ (identical contract + same guard) and getClaimsServiceOperationalLinkRowNumber_. Reuses the pipeline's existing flag readers and transport.</w:t>
            </w:r>
          </w:p>
        </w:tc>
      </w:tr>
    </w:tbl>
    <w:p>
      <w:pPr>
        <w:spacing w:after="120"/>
      </w:pPr>
      <w:r>
        <w:rPr>
          <w:i/>
          <w:iCs/>
        </w:rPr>
        <w:t xml:space="preserve">No other files were modified. Claims Service was intentionally left untouched, and there were no UI, trigger, EOJ, or automation-behavior changes.</w:t>
      </w:r>
    </w:p>
    <w:p>
      <w:pPr>
        <w:pStyle w:val="Heading1"/>
      </w:pPr>
      <w:r>
        <w:t xml:space="preserve">3. Deleted vs. Retained Code</w:t>
      </w:r>
    </w:p>
    <w:p>
      <w:pPr>
        <w:spacing w:after="120"/>
      </w:pPr>
      <w:r>
        <w:t xml:space="preserve">No code was deleted. Per the rollback constraint, every direct writer is retained as an automatic fallback and is only reachable when Claims Service fails or when the primary flag is off:</w:t>
      </w:r>
    </w:p>
    <w:p>
      <w:pPr>
        <w:pStyle w:val="ListParagraph"/>
        <w:numPr>
          <w:ilvl w:val="0"/>
          <w:numId w:val="2"/>
        </w:numPr>
        <w:spacing w:after="60"/>
      </w:pPr>
      <w:r>
        <w:rPr>
          <w:rFonts w:ascii="Consolas" w:cs="Consolas" w:eastAsia="Consolas" w:hAnsi="Consolas"/>
          <w:sz w:val="20"/>
          <w:szCs w:val="20"/>
        </w:rPr>
        <w:t xml:space="preserve">saveInsuranceIntakeExternalLinksDirect_</w:t>
      </w:r>
      <w:r>
        <w:t xml:space="preserve"> / </w:t>
      </w:r>
      <w:r>
        <w:rPr>
          <w:rFonts w:ascii="Consolas" w:cs="Consolas" w:eastAsia="Consolas" w:hAnsi="Consolas"/>
          <w:sz w:val="20"/>
          <w:szCs w:val="20"/>
        </w:rPr>
        <w:t xml:space="preserve">upsertInsuranceIntakeWideExternalLinks_</w:t>
      </w:r>
      <w:r>
        <w:t xml:space="preserve"> — pipeline direct writer (fallback).</w:t>
      </w:r>
    </w:p>
    <w:p>
      <w:pPr>
        <w:pStyle w:val="ListParagraph"/>
        <w:numPr>
          <w:ilvl w:val="0"/>
          <w:numId w:val="2"/>
        </w:numPr>
        <w:spacing w:after="60"/>
      </w:pPr>
      <w:r>
        <w:rPr>
          <w:rFonts w:ascii="Consolas" w:cs="Consolas" w:eastAsia="Consolas" w:hAnsi="Consolas"/>
          <w:sz w:val="20"/>
          <w:szCs w:val="20"/>
        </w:rPr>
        <w:t xml:space="preserve">appendIntakeExternalLink_</w:t>
      </w:r>
      <w:r>
        <w:t xml:space="preserve"> / </w:t>
      </w:r>
      <w:r>
        <w:rPr>
          <w:rFonts w:ascii="Consolas" w:cs="Consolas" w:eastAsia="Consolas" w:hAnsi="Consolas"/>
          <w:sz w:val="20"/>
          <w:szCs w:val="20"/>
        </w:rPr>
        <w:t xml:space="preserve">writeIntakeWideExternalLink_</w:t>
      </w:r>
      <w:r>
        <w:t xml:space="preserve"> — operational-link direct writer (fallback). Now has exactly one caller: the new router.</w:t>
      </w:r>
    </w:p>
    <w:p>
      <w:pPr>
        <w:pStyle w:val="ListParagraph"/>
        <w:numPr>
          <w:ilvl w:val="0"/>
          <w:numId w:val="2"/>
        </w:numPr>
        <w:spacing w:after="60"/>
      </w:pPr>
      <w:r>
        <w:rPr>
          <w:rFonts w:ascii="Consolas" w:cs="Consolas" w:eastAsia="Consolas" w:hAnsi="Consolas"/>
          <w:sz w:val="20"/>
          <w:szCs w:val="20"/>
        </w:rPr>
        <w:t xml:space="preserve">ensureExternalLinksClaimNumberColumn</w:t>
      </w:r>
      <w:r>
        <w:t xml:space="preserve"> — header DDL. Zero callers; a manual maintenance function, not on any automatic path. Slated to become a Claims Service responsibility in the deferred cleanup.</w:t>
      </w:r>
    </w:p>
    <w:p>
      <w:pPr>
        <w:pStyle w:val="Heading1"/>
      </w:pPr>
      <w:r>
        <w:t xml:space="preserve">4. Verification</w:t>
      </w:r>
    </w:p>
    <w:p>
      <w:pPr>
        <w:pStyle w:val="ListParagraph"/>
        <w:numPr>
          <w:ilvl w:val="0"/>
          <w:numId w:val="2"/>
        </w:numPr>
        <w:spacing w:after="60"/>
      </w:pPr>
      <w:r>
        <w:t xml:space="preserve">appendIntakeExternalLink_ now has exactly one caller — the fallback/shadow router — confirmed by grep.</w:t>
      </w:r>
    </w:p>
    <w:p>
      <w:pPr>
        <w:pStyle w:val="ListParagraph"/>
        <w:numPr>
          <w:ilvl w:val="0"/>
          <w:numId w:val="2"/>
        </w:numPr>
        <w:spacing w:after="60"/>
      </w:pPr>
      <w:r>
        <w:t xml:space="preserve">In primary mode, no direct Claims DB External_Links write executes on either path unless Claims Service returns an error (automatic fallback).</w:t>
      </w:r>
    </w:p>
    <w:p>
      <w:pPr>
        <w:pStyle w:val="ListParagraph"/>
        <w:numPr>
          <w:ilvl w:val="0"/>
          <w:numId w:val="2"/>
        </w:numPr>
        <w:spacing w:after="60"/>
      </w:pPr>
      <w:r>
        <w:t xml:space="preserve">Remaining appendRow sites in Code.js write the Automation Run Log spreadsheet, not the Claims DB. HomepageDataService.js opens the Claims DB for reads only.</w:t>
      </w:r>
    </w:p>
    <w:p>
      <w:pPr>
        <w:pStyle w:val="ListParagraph"/>
        <w:numPr>
          <w:ilvl w:val="0"/>
          <w:numId w:val="2"/>
        </w:numPr>
        <w:spacing w:after="60"/>
      </w:pPr>
      <w:r>
        <w:t xml:space="preserve">Feature flags and rollback are unchanged and still gate every write path.</w:t>
      </w:r>
    </w:p>
    <w:p>
      <w:pPr>
        <w:pStyle w:val="ListParagraph"/>
        <w:numPr>
          <w:ilvl w:val="0"/>
          <w:numId w:val="2"/>
        </w:numPr>
        <w:spacing w:after="60"/>
      </w:pPr>
      <w:r>
        <w:t xml:space="preserve">Both modified files pass node --check (syntax valid).</w:t>
      </w:r>
    </w:p>
    <w:p>
      <w:pPr>
        <w:pStyle w:val="Heading1"/>
      </w:pPr>
      <w:r>
        <w:t xml:space="preserve">5. Updated Architecture</w:t>
      </w:r>
    </w:p>
    <w:p>
      <w:pPr>
        <w:spacing w:after="120"/>
      </w:pPr>
      <w:r>
        <w:t xml:space="preserve">Both EOJ and Intake now generate operational events into Claims Service, which solely owns persistence and data integrity for External_Links:</w:t>
      </w:r>
    </w:p>
    <w:p>
      <w:pPr>
        <w:pBdr>
          <w:left w:val="single" w:color="2E5B8A" w:sz="12" w:space="8"/>
        </w:pBdr>
        <w:shd w:fill="F2F4F7" w:val="clear"/>
        <w:spacing w:after="120" w:before="60"/>
      </w:pPr>
      <w:r>
        <w:rPr>
          <w:rFonts w:ascii="Consolas" w:cs="Consolas" w:eastAsia="Consolas" w:hAnsi="Consolas"/>
          <w:sz w:val="20"/>
          <w:szCs w:val="20"/>
        </w:rPr>
        <w:t xml:space="preserve">Morning Automation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v</w:t>
      </w:r>
      <w:r>
        <w:br/>
      </w:r>
      <w:r>
        <w:rPr>
          <w:rFonts w:ascii="Consolas" w:cs="Consolas" w:eastAsia="Consolas" w:hAnsi="Consolas"/>
          <w:sz w:val="20"/>
          <w:szCs w:val="20"/>
        </w:rPr>
        <w:t xml:space="preserve">Automation Dashboard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               |</w:t>
      </w:r>
      <w:r>
        <w:br/>
      </w:r>
      <w:r>
        <w:rPr>
          <w:rFonts w:ascii="Consolas" w:cs="Consolas" w:eastAsia="Consolas" w:hAnsi="Consolas"/>
          <w:sz w:val="20"/>
          <w:szCs w:val="20"/>
        </w:rPr>
        <w:t xml:space="preserve">EOJ Module   Intake Module</w:t>
      </w:r>
      <w:r>
        <w:br/>
      </w:r>
      <w:r>
        <w:rPr>
          <w:rFonts w:ascii="Consolas" w:cs="Consolas" w:eastAsia="Consolas" w:hAnsi="Consolas"/>
          <w:sz w:val="20"/>
          <w:szCs w:val="20"/>
        </w:rPr>
        <w:t xml:space="preserve">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v</w:t>
      </w:r>
      <w:r>
        <w:br/>
      </w:r>
      <w:r>
        <w:rPr>
          <w:rFonts w:ascii="Consolas" w:cs="Consolas" w:eastAsia="Consolas" w:hAnsi="Consolas"/>
          <w:sz w:val="20"/>
          <w:szCs w:val="20"/>
        </w:rPr>
        <w:t xml:space="preserve"> Claims Service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v</w:t>
      </w:r>
      <w:r>
        <w:br/>
      </w:r>
      <w:r>
        <w:rPr>
          <w:rFonts w:ascii="Consolas" w:cs="Consolas" w:eastAsia="Consolas" w:hAnsi="Consolas"/>
          <w:sz w:val="20"/>
          <w:szCs w:val="20"/>
        </w:rPr>
        <w:t xml:space="preserve"> Claims Database</w:t>
      </w:r>
    </w:p>
    <w:p>
      <w:pPr>
        <w:pStyle w:val="Heading1"/>
      </w:pPr>
      <w:r>
        <w:t xml:space="preserve">6. Deploy &amp; Flag-Flip Sequence</w:t>
      </w:r>
    </w:p>
    <w:p>
      <w:pPr>
        <w:spacing w:after="120"/>
      </w:pPr>
      <w:r>
        <w:t xml:space="preserve">The code changes are inert until deployed. The flag remains USE_CLAIMS_SERVICE_EXTERNAL_LINKS=false (shadow); shadow mode now also exercises the operational-link Claims Service path for parity comparison.</w:t>
      </w:r>
    </w:p>
    <w:p>
      <w:pPr>
        <w:pStyle w:val="ListParagraph"/>
        <w:numPr>
          <w:ilvl w:val="0"/>
          <w:numId w:val="3"/>
        </w:numPr>
        <w:spacing w:after="80"/>
      </w:pPr>
      <w:r>
        <w:rPr>
          <w:rFonts w:ascii="Consolas" w:cs="Consolas" w:eastAsia="Consolas" w:hAnsi="Consolas"/>
          <w:sz w:val="20"/>
          <w:szCs w:val="20"/>
        </w:rPr>
        <w:t xml:space="preserve">clasp push</w:t>
      </w:r>
      <w:r>
        <w:t xml:space="preserve"> the automation-dashboard project.</w:t>
      </w:r>
    </w:p>
    <w:p>
      <w:pPr>
        <w:pStyle w:val="ListParagraph"/>
        <w:numPr>
          <w:ilvl w:val="0"/>
          <w:numId w:val="3"/>
        </w:numPr>
        <w:spacing w:after="80"/>
      </w:pPr>
      <w:r>
        <w:t xml:space="preserve">Redeploy the web app: Deploy → Manage deployments → Edit → New version → Deploy. (A push alone does not update the pinned deployment; the loading line should read “Loading intake workspace...”.)</w:t>
      </w:r>
    </w:p>
    <w:p>
      <w:pPr>
        <w:pStyle w:val="ListParagraph"/>
        <w:numPr>
          <w:ilvl w:val="0"/>
          <w:numId w:val="3"/>
        </w:numPr>
        <w:spacing w:after="80"/>
      </w:pPr>
      <w:r>
        <w:t xml:space="preserve">Run several real intakes and one operational-link add; confirm shadow parity in the returned </w:t>
      </w:r>
      <w:r>
        <w:rPr>
          <w:rFonts w:ascii="Consolas" w:cs="Consolas" w:eastAsia="Consolas" w:hAnsi="Consolas"/>
          <w:sz w:val="20"/>
          <w:szCs w:val="20"/>
        </w:rPr>
        <w:t xml:space="preserve">claimsServiceShadowResult</w:t>
      </w:r>
      <w:r>
        <w:t xml:space="preserve">.</w:t>
      </w:r>
    </w:p>
    <w:p>
      <w:pPr>
        <w:pStyle w:val="ListParagraph"/>
        <w:numPr>
          <w:ilvl w:val="0"/>
          <w:numId w:val="3"/>
        </w:numPr>
        <w:spacing w:after="80"/>
      </w:pPr>
      <w:r>
        <w:t xml:space="preserve">Flip </w:t>
      </w:r>
      <w:r>
        <w:rPr>
          <w:rFonts w:ascii="Consolas" w:cs="Consolas" w:eastAsia="Consolas" w:hAnsi="Consolas"/>
          <w:sz w:val="20"/>
          <w:szCs w:val="20"/>
        </w:rPr>
        <w:t xml:space="preserve">USE_CLAIMS_SERVICE_EXTERNAL_LINKS=true</w:t>
      </w:r>
      <w:r>
        <w:t xml:space="preserve">. Claims Service becomes primary; the direct writers fire only on failure.</w:t>
      </w:r>
    </w:p>
    <w:p>
      <w:pPr>
        <w:pStyle w:val="Heading2"/>
      </w:pPr>
      <w:r>
        <w:t xml:space="preserve">Rollback</w:t>
      </w:r>
    </w:p>
    <w:p>
      <w:pPr>
        <w:pStyle w:val="ListParagraph"/>
        <w:numPr>
          <w:ilvl w:val="0"/>
          <w:numId w:val="2"/>
        </w:numPr>
        <w:spacing w:after="60"/>
      </w:pPr>
      <w:r>
        <w:t xml:space="preserve">Instant: set </w:t>
      </w:r>
      <w:r>
        <w:rPr>
          <w:rFonts w:ascii="Consolas" w:cs="Consolas" w:eastAsia="Consolas" w:hAnsi="Consolas"/>
          <w:sz w:val="20"/>
          <w:szCs w:val="20"/>
        </w:rPr>
        <w:t xml:space="preserve">USE_CLAIMS_SERVICE_EXTERNAL_LINKS=false</w:t>
      </w:r>
      <w:r>
        <w:t xml:space="preserve"> — intake reverts to direct writes immediately.</w:t>
      </w:r>
    </w:p>
    <w:p>
      <w:pPr>
        <w:pStyle w:val="ListParagraph"/>
        <w:numPr>
          <w:ilvl w:val="0"/>
          <w:numId w:val="2"/>
        </w:numPr>
        <w:spacing w:after="60"/>
      </w:pPr>
      <w:r>
        <w:t xml:space="preserve">Full: git-revert the 11C commit(s); flags return to current state.</w:t>
      </w:r>
    </w:p>
    <w:p>
      <w:pPr>
        <w:pStyle w:val="ListParagraph"/>
        <w:numPr>
          <w:ilvl w:val="0"/>
          <w:numId w:val="2"/>
        </w:numPr>
        <w:spacing w:after="60"/>
      </w:pPr>
      <w:r>
        <w:t xml:space="preserve">The standalone insurance-intake-automation project remains deployed as the ultimate fallback.</w:t>
      </w:r>
    </w:p>
    <w:p>
      <w:pPr>
        <w:pStyle w:val="Heading1"/>
      </w:pPr>
      <w:r>
        <w:t xml:space="preserve">7. Deferred Cleanup (Next Phase)</w:t>
      </w:r>
    </w:p>
    <w:p>
      <w:pPr>
        <w:spacing w:after="120"/>
      </w:pPr>
      <w:r>
        <w:t xml:space="preserve">The following are intentionally out of 11C scope and gated on retiring rollback. They are captured here so nothing is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468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rFonts w:ascii="Arial" w:cs="Arial" w:eastAsia="Arial" w:hAnsi="Arial"/>
                <w:b/>
                <w:bCs/>
                <w:color w:val="FFFFFF"/>
                <w:sz w:val="22"/>
                <w:szCs w:val="22"/>
              </w:rPr>
              <w:t xml:space="preserve">Why deferred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Retire the direct-write fallbacks (saveInsuranceIntakeExternalLinksDirect_, upsertInsuranceIntakeWideExternalLinks_, appendIntakeExternalLink_) and the hardcoded 1LWU spreadsheet-ID knowledge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Rollback must remain until Claims Service primary is proven in production. Deleting these is a later explicit cleanup.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Move operational-link duplicate-detection reads into Claims Service (make Intake fully thin)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11C chose reroute-write-only to preserve exact duplicate behavior without touching Claims Service. Read removal follows rollback retirement.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Hand ensureExternalLinksClaimNumberColumn (header DDL) to Claims Service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Header/schema ownership belongs to the data owner; currently an uncalled manual helper.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Delete Phase 11B temp files: IntakeModule_Phase11BSetup.js and IntakeModule_Phase11BDiag.js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Token already stripped; safe to remove via manual rm + push once properties are confirmed.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Rotate the Todoist API token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Shared in plaintext during 11B setup; regenerate and re-run setTodoistApiTokenForPhase11B('new-token').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Legacy claims-data-foundation External_Links writer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separate bulk-import writer, out of the intake migration scope.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B8A"/>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2026-07-06T18:35:43.284Z</dcterms:created>
  <dcterms:modified xsi:type="dcterms:W3CDTF">2026-07-06T18:35:43.285Z</dcterms:modified>
</cp:coreProperties>
</file>

<file path=docProps/custom.xml><?xml version="1.0" encoding="utf-8"?>
<Properties xmlns="http://schemas.openxmlformats.org/officeDocument/2006/custom-properties" xmlns:vt="http://schemas.openxmlformats.org/officeDocument/2006/docPropsVTypes"/>
</file>