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C0392B"/>
          <w:sz w:val="64"/>
          <w:szCs w:val="64"/>
        </w:rPr>
        <w:t>DERMAGE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4"/>
          <w:szCs w:val="24"/>
        </w:rPr>
        <w:t>Datathon Girls in Tech 2026  |  IBMEC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2E4057"/>
          <w:sz w:val="32"/>
          <w:szCs w:val="32"/>
        </w:rPr>
        <w:t>Relatório de Análise Exploratória de Dados</w:t>
      </w:r>
    </w:p>
    <w:p>
      <w:pPr>
        <w:pStyle w:val="Normal"/>
        <w:pBdr>
          <w:top w:val="single" w:sz="6" w:space="4" w:color="C0392B"/>
          <w:bottom w:val="single" w:sz="6" w:space="4" w:color="C0392B"/>
        </w:pBdr>
        <w:spacing w:before="120" w:after="120"/>
        <w:jc w:val="center"/>
        <w:rPr/>
      </w:pPr>
      <w:r>
        <w:rPr>
          <w:rFonts w:eastAsia="Arial" w:cs="Arial"/>
          <w:color w:val="2E4057"/>
          <w:sz w:val="20"/>
          <w:szCs w:val="20"/>
        </w:rPr>
        <w:t>Período dos dados: 01/07/2023 → 31/12/2024  |  18 meses de operação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/>
          <w:b/>
          <w:bCs/>
          <w:color w:val="2E4057"/>
          <w:sz w:val="30"/>
          <w:szCs w:val="30"/>
        </w:rPr>
        <w:t>1. Visão Geral da Base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 base de dados cobre 18 meses de operação da Dermage (julho/2023 a dezembro/2024), contemplando pedidos do e-commerce próprio e marketplaces, com clientes de todo o Brasil.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320"/>
        <w:gridCol w:w="4319"/>
      </w:tblGrid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Pedidos totais analisados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86.710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base_pedidos.csv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Pedidos válidos (invoiced)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67.543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77,9% do total</w:t>
            </w:r>
          </w:p>
        </w:tc>
      </w:tr>
      <w:tr>
        <w:trPr/>
        <w:tc>
          <w:tcPr>
            <w:tcW w:w="8639" w:type="dxa"/>
            <w:gridSpan w:val="2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Produtos faturados (SKUs)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119.507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base_produtos.csv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Clientes únicos (invoiced)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47.133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identificados na base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888888"/>
          <w:sz w:val="20"/>
          <w:szCs w:val="20"/>
        </w:rPr>
        <w:t>Pedidos cancelados ou com outro status representam 22,1% da base total e foram excluídos das análises para garantir a qualidade dos resultados.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1.1 Distribuição de Valores dos Pedidos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9"/>
        <w:gridCol w:w="3640"/>
      </w:tblGrid>
      <w:tr>
        <w:trPr>
          <w:tblHeader w:val="true"/>
        </w:trPr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Ticket médio geral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R$ 224,93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Mediana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R$ 199,90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75º percentil (P75)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R$ 270,24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Valor máximo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R$ 3.311,07</w:t>
            </w:r>
          </w:p>
        </w:tc>
      </w:tr>
      <w:tr>
        <w:trPr>
          <w:trHeight w:val="418" w:hRule="atLeast"/>
        </w:trPr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Valor mínimo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R$ 12,57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Outliers (&gt; Q3 + 3×IQR)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1.283 pedidos (R$ 691,35)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1.2 Perfil de Clientes: NOVO vs ANTIGO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40"/>
        <w:gridCol w:w="2498"/>
        <w:gridCol w:w="2502"/>
      </w:tblGrid>
      <w:tr>
        <w:trPr>
          <w:tblHeader w:val="true"/>
        </w:trPr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4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Clientes NOVOS</w:t>
            </w:r>
          </w:p>
        </w:tc>
        <w:tc>
          <w:tcPr>
            <w:tcW w:w="25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Clientes ANTIGOS</w:t>
            </w:r>
          </w:p>
        </w:tc>
      </w:tr>
      <w:tr>
        <w:trPr/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Qtd. de pedidos</w:t>
            </w:r>
          </w:p>
        </w:tc>
        <w:tc>
          <w:tcPr>
            <w:tcW w:w="24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33.708</w:t>
            </w:r>
          </w:p>
        </w:tc>
        <w:tc>
          <w:tcPr>
            <w:tcW w:w="25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33.835</w:t>
            </w:r>
          </w:p>
        </w:tc>
      </w:tr>
      <w:tr>
        <w:trPr/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Ticket médio</w:t>
            </w:r>
          </w:p>
        </w:tc>
        <w:tc>
          <w:tcPr>
            <w:tcW w:w="24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R$ 200,58</w:t>
            </w:r>
          </w:p>
        </w:tc>
        <w:tc>
          <w:tcPr>
            <w:tcW w:w="25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R$ 249,18</w:t>
            </w:r>
          </w:p>
        </w:tc>
      </w:tr>
      <w:tr>
        <w:trPr/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Receita total</w:t>
            </w:r>
          </w:p>
        </w:tc>
        <w:tc>
          <w:tcPr>
            <w:tcW w:w="24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R$ 6.761.255,03</w:t>
            </w:r>
          </w:p>
        </w:tc>
        <w:tc>
          <w:tcPr>
            <w:tcW w:w="25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R$ 8.431.011,44</w:t>
            </w:r>
          </w:p>
        </w:tc>
      </w:tr>
      <w:tr>
        <w:trPr/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Média de pedidos/cliente</w:t>
            </w:r>
          </w:p>
        </w:tc>
        <w:tc>
          <w:tcPr>
            <w:tcW w:w="24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1,02</w:t>
            </w:r>
          </w:p>
        </w:tc>
        <w:tc>
          <w:tcPr>
            <w:tcW w:w="25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1,77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Clientes antigos têm ticket 24% maior e frequência 73% superior — reforçando que retenção é motor de crescimento.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/>
          <w:b/>
          <w:bCs/>
          <w:color w:val="2E4057"/>
          <w:sz w:val="30"/>
          <w:szCs w:val="30"/>
        </w:rPr>
        <w:t>2. Análise de Recompra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 recompra é o principal KPI do desafio. Os dados revelam oportunidades claras de intervenção para aumentar a taxa de retorno dos clientes.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320"/>
        <w:gridCol w:w="4319"/>
      </w:tblGrid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Clientes com ≥ 2 compras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23,5%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11.073 clientes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Clientes com ≥ 3 compras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9,1%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4.292 clientes</w:t>
            </w:r>
          </w:p>
        </w:tc>
      </w:tr>
      <w:tr>
        <w:trPr/>
        <w:tc>
          <w:tcPr>
            <w:tcW w:w="8639" w:type="dxa"/>
            <w:gridSpan w:val="2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Mediana até 2ª compra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117 dias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 xml:space="preserve">≈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4 meses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75% das recompras em até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220 dias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 xml:space="preserve">≈ </w:t>
            </w:r>
            <w:r>
              <w:rPr>
                <w:rFonts w:eastAsia="Arial" w:cs="Arial"/>
                <w:color w:val="666666"/>
                <w:sz w:val="17"/>
                <w:szCs w:val="17"/>
              </w:rPr>
              <w:t>7 meses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2.1 Tempo até a 2ª Compra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9"/>
        <w:gridCol w:w="3640"/>
      </w:tblGrid>
      <w:tr>
        <w:trPr>
          <w:tblHeader w:val="true"/>
        </w:trPr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Estatística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Dias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Média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149,9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Desvio padrão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120,9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Mínimo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25º percentil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55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Mediana (50%)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117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75º percentil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220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90º percentil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345</w:t>
            </w:r>
          </w:p>
        </w:tc>
      </w:tr>
      <w:tr>
        <w:trPr/>
        <w:tc>
          <w:tcPr>
            <w:tcW w:w="49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Máximo</w:t>
            </w:r>
          </w:p>
        </w:tc>
        <w:tc>
          <w:tcPr>
            <w:tcW w:w="36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534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25% dos clientes que recompram fazem isso em até 55 dias — janela ideal para campanha de reativação precoce.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O período crítico de perda está entre 120 e 220 dias: ações de reengajamento nessa janela podem capturar o segundo quartil.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Clientes que não compram em 345+ dias (P90) têm baixíssima probabilidade de retorno espontâneo.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2.2 Ticket Médio por Número da Compra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Clientes que recompram gastam progressivamente mais — evidência do aumento do LTV com a fidelização.</w:t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3000"/>
        <w:gridCol w:w="2642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Nº da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Variação vs 1ª</w:t>
            </w:r>
          </w:p>
        </w:tc>
      </w:tr>
      <w:tr>
        <w:trPr/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1ª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R$ 211,43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2ª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R$ 242,09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+14,5%</w:t>
            </w:r>
          </w:p>
        </w:tc>
      </w:tr>
      <w:tr>
        <w:trPr/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3ª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R$ 260,89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+23,4%</w:t>
            </w:r>
          </w:p>
        </w:tc>
      </w:tr>
      <w:tr>
        <w:trPr/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4ª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R$ 272,41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+28,8%</w:t>
            </w:r>
          </w:p>
        </w:tc>
      </w:tr>
      <w:tr>
        <w:trPr/>
        <w:tc>
          <w:tcPr>
            <w:tcW w:w="29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5ª compra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R$ 286,99</w:t>
            </w:r>
          </w:p>
        </w:tc>
        <w:tc>
          <w:tcPr>
            <w:tcW w:w="264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+35,7%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 cada recompra, o ticket cresce em média ~19 reais, demonstrando que clientes fiéis expandem o mix de produtos consumidos.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/>
          <w:b/>
          <w:bCs/>
          <w:color w:val="2E4057"/>
          <w:sz w:val="30"/>
          <w:szCs w:val="30"/>
        </w:rPr>
        <w:t>3. Análise de Produtos e Famílias</w:t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3.1 Top Famílias na 1ª e 2ª Compra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 família é extraída do início do nome do SKU. A tabela abaixo mostra as principais famílias em cada momento da jornada do cliente.</w:t>
      </w:r>
    </w:p>
    <w:p>
      <w:pPr>
        <w:pStyle w:val="Normal"/>
        <w:spacing w:before="80" w:after="8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2220595</wp:posOffset>
            </wp:positionH>
            <wp:positionV relativeFrom="paragraph">
              <wp:posOffset>5080</wp:posOffset>
            </wp:positionV>
            <wp:extent cx="2200275" cy="3781425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Photoage domina tanto a 1ª quanto a 2ª compra — é o principal produto porta de entrada da Dermage.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Improve e Hyaluage aparecem com força na 2ª compra, sugerindo upsell natural após a entrada pelo Photoage.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Secatriz mantém presença estável — base de clientes fiel e recorrente.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3.2 Jornada de Produto: 1ª → 2ª Compra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As jornadas mais frequentes revelam caminhos naturais de cross-sell e upsell dentro do portfólio.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143500" cy="2571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Photoage → Photoage (8.702): fidelidade dentro da família — cliente volta ao mesmo produto.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Improve → Improve (883) e Ineout → Ineout (832): mesmo padrão de fidelidade.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Photoage → Improve (681) e Improve → Photoage (674): cross-sell bidirecional entre as duas principais famílias.</w:t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Hyaluage → Photoage (599) e Secatriz → Secatriz (599): jornadas alternativas relevantes.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3.3 Mix de Carrinho</w:t>
      </w:r>
    </w:p>
    <w:tbl>
      <w:tblPr>
        <w:tblW w:w="864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320"/>
        <w:gridCol w:w="4319"/>
      </w:tblGrid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Pedidos com múltiplas famílias</w:t>
            </w:r>
          </w:p>
          <w:p>
            <w:pPr>
              <w:pStyle w:val="Normal"/>
              <w:spacing w:before="40" w:after="40"/>
              <w:rPr>
                <w:b/>
                <w:bCs/>
                <w:color w:val="C0392B"/>
                <w:sz w:val="28"/>
                <w:szCs w:val="28"/>
              </w:rPr>
            </w:pPr>
            <w:r>
              <w:rPr>
                <w:b/>
                <w:bCs/>
                <w:color w:val="C0392B"/>
                <w:sz w:val="28"/>
                <w:szCs w:val="28"/>
              </w:rPr>
              <w:t>30,5%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Canal Marketplace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96,7%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dos pedidos</w:t>
            </w:r>
          </w:p>
        </w:tc>
      </w:tr>
      <w:tr>
        <w:trPr/>
        <w:tc>
          <w:tcPr>
            <w:tcW w:w="8639" w:type="dxa"/>
            <w:gridSpan w:val="2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Canal Fulfillment (e-com)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3,3%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dos pedidos</w:t>
            </w:r>
          </w:p>
        </w:tc>
        <w:tc>
          <w:tcPr>
            <w:tcW w:w="4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Sazonalidade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C0392B"/>
                <w:sz w:val="28"/>
                <w:szCs w:val="28"/>
              </w:rPr>
              <w:t>Nov/2024</w:t>
            </w:r>
          </w:p>
          <w:p>
            <w:pPr>
              <w:pStyle w:val="Normal"/>
              <w:spacing w:before="20" w:after="40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pico em todas as famílias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/>
          <w:b/>
          <w:bCs/>
          <w:color w:val="2E4057"/>
          <w:sz w:val="30"/>
          <w:szCs w:val="30"/>
        </w:rPr>
        <w:t>4. Análise Regional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A concentração geográfica dos pedidos reflete a distribuição demográfica e de renda do Brasil, com forte presença no Sudeste.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048250" cy="38957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8"/>
        <w:gridCol w:w="1600"/>
        <w:gridCol w:w="1601"/>
        <w:gridCol w:w="1919"/>
        <w:gridCol w:w="2122"/>
      </w:tblGrid>
      <w:tr>
        <w:trPr>
          <w:tblHeader w:val="true"/>
        </w:trPr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UF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Pedidos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% do Total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Receita Total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SP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25.773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38,2%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R$ 216,12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R$ 5.570.101,66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RJ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14.950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22,1%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R$ 235,79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R$ 3.525.008,27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MG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7.068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10,5%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R$ 223,99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R$ 1.583.138,88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PR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3.400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5,0%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R$ 207,31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R$ 704.852,16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RS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3.030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4,5%</w:t>
            </w:r>
          </w:p>
        </w:tc>
        <w:tc>
          <w:tcPr>
            <w:tcW w:w="19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R$ 222,42</w:t>
            </w:r>
          </w:p>
        </w:tc>
        <w:tc>
          <w:tcPr>
            <w:tcW w:w="21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R$ 673.937,06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SP + RJ + MG concentram 70,8% dos pedidos — Sudeste é o mercado prioritário.</w:t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RJ tem o maior ticket médio entre os top 5 (R$ 235,79) — oportunidade de campanhas premium.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Sul (PR + RS) representa 9,5% do volume — mercado relevante e subestimado.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/>
          <w:b/>
          <w:bCs/>
          <w:color w:val="2E4057"/>
          <w:sz w:val="30"/>
          <w:szCs w:val="30"/>
        </w:rPr>
        <w:t>5. Segmentação de Clientes (RFM)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E4057"/>
          <w:sz w:val="20"/>
          <w:szCs w:val="20"/>
        </w:rPr>
        <w:t>O modelo RFM (Recência, Frequência e Valor Monetário) classifica os 47.133 clientes em 6 segmentos estratégicos, cada um exigindo abordagem diferente.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334000" cy="18669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80"/>
        <w:rPr/>
      </w:pPr>
      <w:r>
        <w:rPr/>
      </w:r>
    </w:p>
    <w:tbl>
      <w:tblPr>
        <w:tblW w:w="86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1399"/>
        <w:gridCol w:w="1601"/>
        <w:gridCol w:w="1200"/>
        <w:gridCol w:w="2040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Segmento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Clientes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Recência média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Freq. média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2E405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Ticket médio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Campeões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9.559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66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2,6x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R$ 639,70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Leais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8.772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179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1,4x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R$ 304,60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Em Risco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9.949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431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1,2x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R$ 258,80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Hibernando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8.904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437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1,0x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R$ 201,80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Novos Promissores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6.172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70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1,0x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R$ 201,90</w:t>
            </w:r>
          </w:p>
        </w:tc>
      </w:tr>
      <w:tr>
        <w:trPr/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Potencial</w:t>
            </w:r>
          </w:p>
        </w:tc>
        <w:tc>
          <w:tcPr>
            <w:tcW w:w="13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3.777</w:t>
            </w:r>
          </w:p>
        </w:tc>
        <w:tc>
          <w:tcPr>
            <w:tcW w:w="16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238 dias</w:t>
            </w:r>
          </w:p>
        </w:tc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1,0x</w:t>
            </w:r>
          </w:p>
        </w:tc>
        <w:tc>
          <w:tcPr>
            <w:tcW w:w="20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E4057"/>
                <w:sz w:val="18"/>
                <w:szCs w:val="18"/>
              </w:rPr>
              <w:t>R$ 208,60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Campeões (9.559 clientes): ticket 3× maior que a média — prioridade máxima para fidelização e programa VIP.</w:t>
      </w:r>
    </w:p>
    <w:p>
      <w:pPr>
        <w:pStyle w:val="ListParagraph"/>
        <w:numPr>
          <w:ilvl w:val="0"/>
          <w:numId w:val="18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Em Risco + Hibernando = 18.853 clientes: maior oportunidade de reativação da base.</w:t>
      </w:r>
    </w:p>
    <w:p>
      <w:pPr>
        <w:pStyle w:val="ListParagraph"/>
        <w:numPr>
          <w:ilvl w:val="0"/>
          <w:numId w:val="19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Novos Promissores (6.172): compraram recentemente mas ainda têm freq. baixa — janela ideal para segunda compra.</w:t>
      </w:r>
    </w:p>
    <w:p>
      <w:pPr>
        <w:pStyle w:val="ListParagraph"/>
        <w:numPr>
          <w:ilvl w:val="0"/>
          <w:numId w:val="20"/>
        </w:numPr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  <w:t>Leais (8.772): candidatos naturais a se tornarem Campeões com estímulo correto.</w:t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ListParagraph"/>
        <w:spacing w:before="60" w:after="60"/>
        <w:rPr>
          <w:rFonts w:ascii="Arial" w:hAnsi="Arial" w:eastAsia="Arial" w:cs="Arial"/>
          <w:color w:val="2E4057"/>
          <w:sz w:val="20"/>
          <w:szCs w:val="20"/>
        </w:rPr>
      </w:pPr>
      <w:r>
        <w:rPr>
          <w:rFonts w:eastAsia="Arial" w:cs="Arial"/>
          <w:color w:val="2E4057"/>
          <w:sz w:val="20"/>
          <w:szCs w:val="20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ANÁLISES: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1. COHORT</w:t>
      </w:r>
      <w:r>
        <w:rPr/>
        <w:t xml:space="preserve">: </w:t>
      </w:r>
      <w:r>
        <w:rPr/>
        <w:t xml:space="preserve">quando o cliente entrou </w:t>
      </w:r>
    </w:p>
    <w:p>
      <w:pPr>
        <w:pStyle w:val="Normal"/>
        <w:rPr/>
      </w:pPr>
      <w:r>
        <w:rPr/>
        <w:t>- cohort sendo grupo de usuários que compartilha uma experiência comum dentro de um período.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-entender a </w:t>
      </w:r>
      <w:r>
        <w:rPr>
          <w:rStyle w:val="Strong"/>
        </w:rPr>
        <w:t>retenção de clientes</w:t>
      </w:r>
      <w:r>
        <w:rPr/>
        <w:t xml:space="preserve">, identificar o momento exato em que os clientes abandonam o serviço (aumento do </w:t>
      </w:r>
      <w:r>
        <w:rPr>
          <w:rStyle w:val="Emphasis"/>
        </w:rPr>
        <w:t>churn</w:t>
      </w:r>
      <w:r>
        <w:rPr/>
        <w:t>) e avaliar se ações de marketing estão atraindo usuários qualificados que permanecem na base.</w:t>
      </w:r>
    </w:p>
    <w:p>
      <w:pPr>
        <w:pStyle w:val="Normal"/>
        <w:rPr/>
      </w:pPr>
      <w:r>
        <w:rPr>
          <w:color w:val="C9211E"/>
        </w:rPr>
        <w:t xml:space="preserve">- </w:t>
      </w:r>
      <w:r>
        <w:rPr>
          <w:color w:val="C9211E"/>
        </w:rPr>
        <w:t xml:space="preserve">Cada </w:t>
      </w:r>
      <w:r>
        <w:rPr>
          <w:rStyle w:val="Strong"/>
          <w:color w:val="C9211E"/>
        </w:rPr>
        <w:t>célula</w:t>
      </w:r>
      <w:r>
        <w:rPr>
          <w:color w:val="C9211E"/>
        </w:rPr>
        <w:t xml:space="preserve"> = % dos clientes daquela coorte que voltou a comprar naquele mês. O </w:t>
      </w:r>
      <w:r>
        <w:rPr>
          <w:rStyle w:val="Strong"/>
          <w:color w:val="C9211E"/>
        </w:rPr>
        <w:t>n=</w:t>
      </w:r>
      <w:r>
        <w:rPr>
          <w:color w:val="C9211E"/>
        </w:rPr>
        <w:t xml:space="preserve"> à direita = quantos clientes entraram naquela coorte.</w:t>
      </w:r>
    </w:p>
    <w:p>
      <w:pPr>
        <w:pStyle w:val="Normal"/>
        <w:rPr>
          <w:color w:val="C9211E"/>
        </w:rPr>
      </w:pPr>
      <w:r>
        <w:rPr>
          <w:color w:val="C9211E"/>
        </w:rPr>
        <w:t xml:space="preserve">- </w:t>
      </w:r>
      <w:r>
        <w:rPr>
          <w:color w:val="C9211E"/>
        </w:rPr>
        <w:t>células rosadas mais fortes = sazonalidade de novembro, não retenção</w:t>
      </w:r>
    </w:p>
    <w:p>
      <w:pPr>
        <w:pStyle w:val="Normal"/>
        <w:rPr/>
      </w:pPr>
      <w:r>
        <w:rPr>
          <w:i/>
          <w:iCs/>
          <w:color w:val="C9211E"/>
          <w:sz w:val="20"/>
          <w:szCs w:val="20"/>
        </w:rPr>
        <w:t xml:space="preserve">- </w:t>
      </w:r>
      <w:r>
        <w:rPr>
          <w:i/>
          <w:iCs/>
          <w:sz w:val="20"/>
          <w:szCs w:val="20"/>
        </w:rPr>
        <w:t xml:space="preserve">A janela crítica de intervenção é </w:t>
      </w:r>
      <w:r>
        <w:rPr>
          <w:rStyle w:val="Strong"/>
          <w:i/>
          <w:iCs/>
          <w:sz w:val="20"/>
          <w:szCs w:val="20"/>
        </w:rPr>
        <w:t>entre o mês 0 e o mês 1</w:t>
      </w:r>
      <w:r>
        <w:rPr>
          <w:i/>
          <w:iCs/>
          <w:sz w:val="20"/>
          <w:szCs w:val="20"/>
        </w:rPr>
        <w:t>. Se a Dermage conseguir elevar a retenção de mês 1 de ~3% para ~8%, já dobra a taxa de recompra. Ações concretas: e-mail/WhatsApp nos primeiros 30 dias, oferta de produto complementar ao que foi comprado, e programa de pontos ativado já na 1ª compra.</w:t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838200</wp:posOffset>
            </wp:positionH>
            <wp:positionV relativeFrom="paragraph">
              <wp:posOffset>7620</wp:posOffset>
            </wp:positionV>
            <wp:extent cx="5029835" cy="324548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-232410</wp:posOffset>
            </wp:positionH>
            <wp:positionV relativeFrom="paragraph">
              <wp:posOffset>20320</wp:posOffset>
            </wp:positionV>
            <wp:extent cx="5632450" cy="2444115"/>
            <wp:effectExtent l="0" t="0" r="0" b="0"/>
            <wp:wrapSquare wrapText="largest"/>
            <wp:docPr id="6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5503545</wp:posOffset>
            </wp:positionH>
            <wp:positionV relativeFrom="paragraph">
              <wp:posOffset>68580</wp:posOffset>
            </wp:positionV>
            <wp:extent cx="1506855" cy="117284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BodyText"/>
        <w:rPr>
          <w:b/>
          <w:bCs/>
        </w:rPr>
      </w:pPr>
      <w:r>
        <w:rPr>
          <w:rStyle w:val="Emphasis"/>
          <w:b/>
          <w:bCs/>
        </w:rPr>
        <w:t xml:space="preserve">PROPOSTA: aumento de 25% de retenção considerando tm de </w:t>
      </w:r>
      <w:r>
        <w:rPr>
          <w:rStyle w:val="Emphasis"/>
          <w:b/>
          <w:bCs/>
        </w:rPr>
        <w:t>"se a retenção subisse 25%, quanto a mais a Dermage teria faturado nesses 18 meses?"</w:t>
      </w:r>
    </w:p>
    <w:p>
      <w:pPr>
        <w:pStyle w:val="BodyText"/>
        <w:rPr>
          <w:b/>
          <w:bCs/>
        </w:rPr>
      </w:pPr>
      <w:r>
        <w:rPr>
          <w:rStyle w:val="Emphasis"/>
          <w:b/>
          <w:bCs/>
        </w:rPr>
        <w:t>(Obs.: esses são os clientes que comprariam de novo se a retenção subisse 25%, chegando 4 meses após a primeira compra, gastando R$ 242".)</w:t>
      </w:r>
    </w:p>
    <w:p>
      <w:pPr>
        <w:pStyle w:val="BodyText"/>
        <w:rPr>
          <w:rStyle w:val="Emphasis"/>
          <w:b/>
          <w:bCs/>
        </w:rPr>
      </w:pPr>
      <w:r>
        <w:rPr>
          <w:b/>
          <w:bCs/>
        </w:rPr>
      </w:r>
    </w:p>
    <w:p>
      <w:pPr>
        <w:pStyle w:val="BodyText"/>
        <w:rPr>
          <w:rStyle w:val="Emphasis"/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 xml:space="preserve">CHURN: como </w:t>
      </w:r>
      <w:r>
        <w:rPr>
          <w:rStyle w:val="Strong"/>
        </w:rPr>
        <w:t>silêncio</w:t>
      </w:r>
      <w:r>
        <w:rPr>
          <w:b/>
          <w:bCs/>
        </w:rPr>
        <w:t xml:space="preserve">: o cliente para de comprar e não volta </w:t>
      </w:r>
      <w:r>
        <w:rPr>
          <w:b/>
          <w:bCs/>
        </w:rPr>
        <w:t xml:space="preserve">(régua de </w:t>
      </w:r>
      <w:r>
        <w:rPr>
          <w:b/>
          <w:bCs/>
        </w:rPr>
        <w:t>220</w:t>
      </w:r>
      <w:r>
        <w:rPr>
          <w:b/>
          <w:bCs/>
        </w:rPr>
        <w:t xml:space="preserve"> dias)</w:t>
      </w:r>
    </w:p>
    <w:p>
      <w:pPr>
        <w:pStyle w:val="BodyText"/>
        <w:rPr/>
      </w:pPr>
      <w:r>
        <w:rPr/>
        <w:t xml:space="preserve">- </w:t>
      </w:r>
      <w:r>
        <w:rPr>
          <w:b w:val="false"/>
          <w:bCs w:val="false"/>
        </w:rPr>
        <w:t>classificação de cliente ‘churned’ ou não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- perfil dos cliente churneds (tm, número de pedidos) &gt; agrupado por tipo cliente, canal e uf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- churn por RMF – taxa de churn por segmento (hibernando deve ser 100%) </w:t>
      </w:r>
    </w:p>
    <w:p>
      <w:pPr>
        <w:pStyle w:val="BodyText"/>
        <w:rPr>
          <w:b/>
          <w:bCs/>
        </w:rPr>
      </w:pPr>
      <w:r>
        <w:rPr>
          <w:b/>
          <w:bCs/>
        </w:rPr>
        <w:t>- curva de sobrevivência Kaplan Meier: quanto % dos clientes ainda está ativo em cada janela de tempo, quebrado por NOVO/ANTIGO.</w:t>
      </w:r>
    </w:p>
    <w:p>
      <w:pPr>
        <w:pStyle w:val="BodyText"/>
        <w:rPr/>
      </w:pPr>
      <w:r>
        <w:rPr>
          <w:b/>
          <w:bCs/>
        </w:rPr>
        <w:tab/>
      </w:r>
      <w:r>
        <w:rPr/>
        <w:t>Qual a probabilidade de um cliente ainda estar ativo (não ter churnado) após X dias?</w:t>
      </w:r>
    </w:p>
    <w:p>
      <w:pPr>
        <w:pStyle w:val="BodyText"/>
        <w:rPr/>
      </w:pPr>
      <w:r>
        <w:rPr/>
        <w:tab/>
      </w:r>
      <w:r>
        <w:rPr/>
        <w:t xml:space="preserve">Kaplan Meier: </w:t>
      </w:r>
      <w:r>
        <w:rPr/>
        <w:t xml:space="preserve">O desafio é que nem todos os clientes têm o mesmo tempo de observação. Um cliente que entrou em julho/23 tem 18 meses de histórico. Um cliente que entrou em novembro/24 tem apenas 1 mês. Se você simplesmente calcular "quantos % churnaram", está misturando clientes com janelas de observação completamente diferentes — o resultado fica distorcido. O Kaplan-Meier resolve isso com o conceito de </w:t>
      </w:r>
      <w:r>
        <w:rPr>
          <w:rStyle w:val="Strong"/>
        </w:rPr>
        <w:t>censura</w:t>
      </w:r>
      <w:r>
        <w:rPr/>
        <w:t>: clientes que ainda estão ativos não são ignorados, mas tratados como "ainda não sabemos o desfecho deles". Eles contribuem para o cálculo enquanto estão em observação e saem da conta quando o histórico deles acaba — sem distorcer a curva.</w:t>
      </w:r>
    </w:p>
    <w:p>
      <w:pPr>
        <w:pStyle w:val="BodyText"/>
        <w:rPr/>
      </w:pPr>
      <w:r>
        <w:rPr>
          <w:rStyle w:val="Emphasis"/>
          <w:color w:val="C9211E"/>
        </w:rPr>
        <w:t>A dermage perde seus clientes perde a maioria dos clientes nessa janela — e é exatamente aí que precisamos agir</w:t>
      </w:r>
    </w:p>
    <w:p>
      <w:pPr>
        <w:pStyle w:val="BodyText"/>
        <w:rPr>
          <w:rStyle w:val="Emphasis"/>
          <w:color w:val="C9211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-62865</wp:posOffset>
            </wp:positionH>
            <wp:positionV relativeFrom="paragraph">
              <wp:posOffset>10795</wp:posOffset>
            </wp:positionV>
            <wp:extent cx="1234440" cy="1522095"/>
            <wp:effectExtent l="0" t="0" r="0" b="0"/>
            <wp:wrapSquare wrapText="largest"/>
            <wp:docPr id="8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52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179070</wp:posOffset>
            </wp:positionH>
            <wp:positionV relativeFrom="paragraph">
              <wp:posOffset>1419225</wp:posOffset>
            </wp:positionV>
            <wp:extent cx="6525895" cy="1680845"/>
            <wp:effectExtent l="0" t="0" r="0" b="0"/>
            <wp:wrapSquare wrapText="largest"/>
            <wp:docPr id="9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b/>
          <w:bCs/>
          <w:color w:val="000000"/>
        </w:rPr>
      </w:pPr>
      <w:r>
        <w:rPr>
          <w:rStyle w:val="Emphasis"/>
          <w:b/>
          <w:bCs/>
          <w:color w:val="000000"/>
        </w:rPr>
        <w:t xml:space="preserve">CRESCIMENTO DA RECEITA: PICOS DE NOV </w:t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-313055</wp:posOffset>
            </wp:positionH>
            <wp:positionV relativeFrom="paragraph">
              <wp:posOffset>248920</wp:posOffset>
            </wp:positionV>
            <wp:extent cx="6120130" cy="2657475"/>
            <wp:effectExtent l="0" t="0" r="0" b="0"/>
            <wp:wrapSquare wrapText="largest"/>
            <wp:docPr id="10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rStyle w:val="Emphasis"/>
          <w:color w:val="C9211E"/>
        </w:rPr>
      </w:pPr>
      <w:r>
        <w:rPr/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- ressaltar que a receita não é crescente &gt; picos e vales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 xml:space="preserve">DIAS DE RECOMPRA POR FAMÍLIA (PENSANDO EM COMPRA PROGRAMADA/ LEMBRETE) 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Previsão: comprando um produto da família X qual a chance de recompra?</w:t>
      </w:r>
    </w:p>
    <w:p>
      <w:pPr>
        <w:pStyle w:val="BodyText"/>
        <w:rPr>
          <w:b/>
          <w:bCs/>
          <w:color w:val="000000"/>
        </w:rPr>
      </w:pPr>
      <w:r>
        <w:rPr>
          <w:rStyle w:val="Emphasis"/>
          <w:b/>
          <w:bCs/>
          <w:color w:val="000000"/>
        </w:rPr>
        <w:t>Qual o tempo ideal de recompra?</w:t>
      </w:r>
    </w:p>
    <w:p>
      <w:pPr>
        <w:pStyle w:val="BodyText"/>
        <w:rPr>
          <w:rStyle w:val="Emphasis"/>
          <w:color w:val="C9211E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73660</wp:posOffset>
            </wp:positionH>
            <wp:positionV relativeFrom="paragraph">
              <wp:posOffset>-34925</wp:posOffset>
            </wp:positionV>
            <wp:extent cx="6120130" cy="2416810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Janela Crítica de Reativação (0–120 dias)</w:t>
      </w:r>
    </w:p>
    <w:p>
      <w:pPr>
        <w:pStyle w:val="ListParagraph"/>
        <w:numPr>
          <w:ilvl w:val="0"/>
          <w:numId w:val="21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Acionar clientes que fizeram 1ª compra há 30–55 dias com cupom ou amostra grátis (dentro do P25 de recompra).</w:t>
      </w:r>
    </w:p>
    <w:p>
      <w:pPr>
        <w:pStyle w:val="ListParagraph"/>
        <w:numPr>
          <w:ilvl w:val="0"/>
          <w:numId w:val="22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E-mail/WhatsApp personalizado destacando famílias complementares ao produto da 1ª compra (ex: comprou Photoage → oferecer Improve).</w:t>
      </w:r>
    </w:p>
    <w:p>
      <w:pPr>
        <w:pStyle w:val="ListParagraph"/>
        <w:numPr>
          <w:ilvl w:val="0"/>
          <w:numId w:val="23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Para Novos Promissores: sequência de 3 comunicações em 30, 60 e 90 dias pós-1ª compra.</w:t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 xml:space="preserve"> </w:t>
      </w:r>
      <w:r>
        <w:rPr>
          <w:rFonts w:eastAsia="Arial" w:cs="Arial"/>
          <w:b/>
          <w:bCs/>
          <w:color w:val="C0392B"/>
          <w:sz w:val="24"/>
          <w:szCs w:val="24"/>
        </w:rPr>
        <w:t>Programa de Fidelidade</w:t>
      </w:r>
    </w:p>
    <w:p>
      <w:pPr>
        <w:pStyle w:val="ListParagraph"/>
        <w:numPr>
          <w:ilvl w:val="0"/>
          <w:numId w:val="24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Criar programa de pontos voltado aos segmentos Leais e Campeões para acelerar frequência.</w:t>
      </w:r>
    </w:p>
    <w:p>
      <w:pPr>
        <w:pStyle w:val="ListParagraph"/>
        <w:numPr>
          <w:ilvl w:val="0"/>
          <w:numId w:val="25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Benefício exclusivo para quem atinge 3ª compra — dado o crescimento consistente de ticket a cada recompra (+35,7% na 5ª compra).</w:t>
      </w:r>
    </w:p>
    <w:p>
      <w:pPr>
        <w:pStyle w:val="Heading2"/>
        <w:pBdr>
          <w:bottom w:val="single" w:sz="4" w:space="4" w:color="C0392B"/>
        </w:pBdr>
        <w:spacing w:before="240" w:after="120"/>
        <w:rPr/>
      </w:pPr>
      <w:r>
        <w:rPr>
          <w:rFonts w:eastAsia="Arial" w:cs="Arial"/>
          <w:b/>
          <w:bCs/>
          <w:color w:val="C0392B"/>
          <w:sz w:val="24"/>
          <w:szCs w:val="24"/>
        </w:rPr>
        <w:t>Sazonalidade</w:t>
      </w:r>
    </w:p>
    <w:p>
      <w:pPr>
        <w:pStyle w:val="ListParagraph"/>
        <w:numPr>
          <w:ilvl w:val="0"/>
          <w:numId w:val="26"/>
        </w:numPr>
        <w:spacing w:before="60" w:after="60"/>
        <w:rPr/>
      </w:pPr>
      <w:r>
        <w:rPr>
          <w:rFonts w:eastAsia="Arial" w:cs="Arial"/>
          <w:color w:val="2E4057"/>
          <w:sz w:val="20"/>
          <w:szCs w:val="20"/>
        </w:rPr>
        <w:t>Usar o pico de novembro para capturar novos clientes e criar sequência de recompra até fevereiro (dentro da janela de 55–120 dias).</w:t>
      </w:r>
    </w:p>
    <w:p>
      <w:pPr>
        <w:pStyle w:val="Normal"/>
        <w:spacing w:before="80" w:after="80"/>
        <w:rPr/>
      </w:pPr>
      <w:r>
        <w:rPr/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200" w:right="120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  <w:p>
    <w:pPr>
      <w:pStyle w:val="Normal"/>
      <w:pBdr>
        <w:top w:val="single" w:sz="4" w:space="4" w:color="DDDDDD"/>
      </w:pBdr>
      <w:spacing w:before="120" w:after="0"/>
      <w:jc w:val="center"/>
      <w:rPr>
        <w:rFonts w:ascii="Arial" w:hAnsi="Arial" w:eastAsia="Arial" w:cs="Arial"/>
        <w:color w:val="AAAAAA"/>
        <w:sz w:val="16"/>
        <w:szCs w:val="16"/>
      </w:rPr>
    </w:pPr>
    <w:r>
      <w:rPr>
        <w:rFonts w:eastAsia="Arial" w:cs="Arial"/>
        <w:color w:val="AAAAAA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C0392B"/>
      </w:pBdr>
      <w:spacing w:before="0" w:after="160"/>
      <w:rPr/>
    </w:pPr>
    <w:r>
      <w:rPr>
        <w:rFonts w:eastAsia="Arial" w:cs="Arial"/>
        <w:b/>
        <w:bCs/>
        <w:color w:val="C0392B"/>
        <w:sz w:val="18"/>
        <w:szCs w:val="18"/>
      </w:rPr>
      <w:t>DERMAGE  |  Datathon Girls in Tech 2026</w:t>
    </w:r>
    <w:r>
      <w:rPr>
        <w:rFonts w:eastAsia="Arial" w:cs="Arial"/>
        <w:color w:val="888888"/>
        <w:sz w:val="18"/>
        <w:szCs w:val="18"/>
      </w:rPr>
      <w:t xml:space="preserve">  —  Relatório EDA</w:t>
    </w:r>
  </w:p>
  <w:p>
    <w:pPr>
      <w:pStyle w:val="Normal"/>
      <w:pBdr>
        <w:bottom w:val="single" w:sz="6" w:space="4" w:color="C0392B"/>
      </w:pBdr>
      <w:spacing w:before="0" w:after="160"/>
      <w:rPr>
        <w:rFonts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C0392B"/>
      </w:pBdr>
      <w:spacing w:before="0" w:after="160"/>
      <w:rPr/>
    </w:pPr>
    <w:r>
      <w:rPr>
        <w:rFonts w:eastAsia="Arial" w:cs="Arial"/>
        <w:b/>
        <w:bCs/>
        <w:color w:val="C0392B"/>
        <w:sz w:val="18"/>
        <w:szCs w:val="18"/>
      </w:rPr>
      <w:t>DERMAGE  |  Datathon Girls in Tech 2026</w:t>
    </w:r>
    <w:r>
      <w:rPr>
        <w:rFonts w:eastAsia="Arial" w:cs="Arial"/>
        <w:color w:val="888888"/>
        <w:sz w:val="18"/>
        <w:szCs w:val="18"/>
      </w:rPr>
      <w:t xml:space="preserve">  —  Relatório EDA</w:t>
    </w:r>
  </w:p>
  <w:p>
    <w:pPr>
      <w:pStyle w:val="Normal"/>
      <w:pBdr>
        <w:bottom w:val="single" w:sz="6" w:space="4" w:color="C0392B"/>
      </w:pBdr>
      <w:spacing w:before="0" w:after="160"/>
      <w:rPr>
        <w:rFonts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E4057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E4057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2E4057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C0392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2E4057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E4057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LibreOffice/25.2.2.1$Linux_X86_64 LibreOffice_project/38d746d66d9b82fa248a2e90142b9dd3ddd1d6cd</Application>
  <AppVersion>15.0000</AppVersion>
  <Pages>13</Pages>
  <Words>1452</Words>
  <Characters>7349</Characters>
  <CharactersWithSpaces>8572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2026-03-24T01:06:56Z</dcterms:created>
  <dc:creator>Un-named</dc:creator>
  <dc:description/>
  <dc:language>pt-BR</dc:language>
  <cp:lastModifiedBy/>
  <dcterms:modified xsi:type="dcterms:W3CDTF">2026-03-24T00:27:48Z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