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80" w:lineRule="auto"/>
        <w:jc w:val="center"/>
        <w:rPr>
          <w:rFonts w:ascii="Calibri" w:cs="Calibri" w:eastAsia="Calibri" w:hAnsi="Calibri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32"/>
          <w:szCs w:val="32"/>
          <w:rtl w:val="0"/>
        </w:rPr>
        <w:t xml:space="preserve">JULIA 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60" w:lineRule="auto"/>
        <w:ind w:right="-270"/>
        <w:jc w:val="center"/>
        <w:rPr>
          <w:rFonts w:ascii="Calibri" w:cs="Calibri" w:eastAsia="Calibri" w:hAnsi="Calibri"/>
          <w:color w:val="444444"/>
        </w:rPr>
      </w:pPr>
      <w:r w:rsidDel="00000000" w:rsidR="00000000" w:rsidRPr="00000000">
        <w:rPr>
          <w:rFonts w:ascii="Calibri" w:cs="Calibri" w:eastAsia="Calibri" w:hAnsi="Calibri"/>
          <w:color w:val="666666"/>
          <w:sz w:val="18"/>
          <w:szCs w:val="18"/>
          <w:rtl w:val="0"/>
        </w:rPr>
        <w:t xml:space="preserve">+1 808 452 6538  |  Atlanta, GA  |  juliahwanlee@gmail.com  |  linkedin.com/in/juliahwanlee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160" w:line="264" w:lineRule="auto"/>
        <w:ind w:left="-270" w:right="-270" w:firstLine="0"/>
        <w:jc w:val="both"/>
        <w:rPr>
          <w:rFonts w:ascii="Calibri" w:cs="Calibri" w:eastAsia="Calibri" w:hAnsi="Calibri"/>
          <w:color w:val="1b3a5c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AI Product &amp; Strategy Leader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10+ years of experience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 building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enterprise AI products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 from concept through production. Excels at aligning three critical forces within every product: executive ambition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growth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, development teams’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capacity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 for delivery, and end users’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need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 - translating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strategic vision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 into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scalable solutions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 that drive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measurable and sustainable growth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. Experience with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ML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GenAI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agentic AI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responsible AI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444444"/>
          <w:rtl w:val="0"/>
        </w:rPr>
        <w:t xml:space="preserve">enterprise digital transformation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tabs>
          <w:tab w:val="center" w:leader="none" w:pos="9752"/>
        </w:tabs>
        <w:spacing w:after="60" w:before="160" w:lineRule="auto"/>
        <w:ind w:left="-270" w:right="-270" w:firstLine="0"/>
        <w:rPr>
          <w:rFonts w:ascii="Calibri" w:cs="Calibri" w:eastAsia="Calibri" w:hAnsi="Calibri"/>
          <w:b w:val="1"/>
          <w:bCs w:val="1"/>
          <w:color w:val="1b3a5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2"/>
          <w:szCs w:val="22"/>
          <w:rtl w:val="0"/>
        </w:rPr>
        <w:t xml:space="preserve">SELECT CAREER HIGHLIGHTS</w:t>
      </w:r>
    </w:p>
    <w:p w:rsidR="00000000" w:rsidDel="00000000" w:rsidP="00000000" w:rsidRDefault="00000000" w:rsidRPr="00000000" w14:paraId="00000005">
      <w:pPr>
        <w:spacing w:before="20" w:line="276" w:lineRule="auto"/>
        <w:ind w:left="-270" w:right="-270" w:firstLine="0"/>
        <w:rPr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18"/>
          <w:szCs w:val="18"/>
          <w:u w:val="single"/>
          <w:rtl w:val="0"/>
        </w:rPr>
        <w:t xml:space="preserve">Client Delivery</w:t>
      </w: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Delivered $250-400M in benefits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250%+ ROI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on a multi-billion-dollar biotech enterprise AI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" w:line="276" w:lineRule="auto"/>
        <w:ind w:left="-270" w:right="-270" w:firstLine="0"/>
        <w:rPr>
          <w:rFonts w:ascii="Arial" w:cs="Arial" w:eastAsia="Arial" w:hAnsi="Arial"/>
          <w:color w:val="1a1a1a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1a"/>
          <w:sz w:val="18"/>
          <w:szCs w:val="18"/>
          <w:u w:val="single"/>
          <w:shd w:fill="auto" w:val="clear"/>
          <w:vertAlign w:val="baseline"/>
          <w:rtl w:val="0"/>
        </w:rPr>
        <w:t xml:space="preserve">Practice Building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Scaled practice revenue 385% YoY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 with roughly ~140 consultants EY's AI &amp; Data Customer &amp;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" w:line="276" w:lineRule="auto"/>
        <w:ind w:left="-270" w:right="-27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a1a1a"/>
          <w:sz w:val="18"/>
          <w:szCs w:val="18"/>
          <w:u w:val="single"/>
          <w:rtl w:val="0"/>
        </w:rPr>
        <w:t xml:space="preserve">Asset Building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 - Led design and commercial strategy for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agentic AI retail managed-service, Growth OS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, projecting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$150M+ incremental annual revenue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 from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8"/>
          <w:szCs w:val="18"/>
          <w:rtl w:val="0"/>
        </w:rPr>
        <w:t xml:space="preserve">2% uplift</w:t>
      </w:r>
      <w:r w:rsidDel="00000000" w:rsidR="00000000" w:rsidRPr="00000000">
        <w:rPr>
          <w:rFonts w:ascii="Arial" w:cs="Arial" w:eastAsia="Arial" w:hAnsi="Arial"/>
          <w:color w:val="1a1a1a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864" w:space="4" w:sz="8" w:val="single"/>
        </w:pBdr>
        <w:spacing w:after="60" w:before="160" w:lineRule="auto"/>
        <w:ind w:left="-270" w:right="-270" w:firstLine="0"/>
        <w:rPr>
          <w:rFonts w:ascii="Calibri" w:cs="Calibri" w:eastAsia="Calibri" w:hAnsi="Calibri"/>
          <w:b w:val="1"/>
          <w:bCs w:val="1"/>
          <w:color w:val="1b3a5c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tabs>
          <w:tab w:val="left" w:leader="none" w:pos="5490"/>
          <w:tab w:val="right" w:leader="none" w:pos="10350"/>
        </w:tabs>
        <w:spacing w:after="40" w:before="120" w:lineRule="auto"/>
        <w:ind w:left="-270" w:right="-27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1"/>
          <w:szCs w:val="21"/>
          <w:rtl w:val="0"/>
        </w:rPr>
        <w:t xml:space="preserve">Senior Manager &amp; Manager — AI Products &amp; Strategy Lead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EY · Atlanta, GA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July 2022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20" w:line="276" w:lineRule="auto"/>
        <w:ind w:left="90" w:right="-27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Built and scaled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EY's AI &amp; Data practice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Customer &amp; Growth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Product Innovation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Transformation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, driving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385% YoY growth to ~140 consultants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; shaped GTM strategy, managed revenue and sales, and showcased offerings at industry conferences.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before="20" w:line="276" w:lineRule="auto"/>
        <w:ind w:left="90" w:right="-270" w:hanging="360"/>
        <w:rPr>
          <w:rFonts w:ascii="Calibri" w:cs="Calibri" w:eastAsia="Calibri" w:hAnsi="Calibri"/>
          <w:color w:val="333333"/>
          <w:u w:val="none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strategy and design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of the Growth OS Platform, a custom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agentic AI managed-service for retail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, shaping service architecture, psychographic profiling, mission detection, dynamic pricing, and personalized marketing capabilities. Defined commercial models and market penetration strategy, projecting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$150M+ incremental annual revenue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through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2% uplift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20" w:line="276" w:lineRule="auto"/>
        <w:ind w:left="90" w:right="-270" w:hanging="360"/>
        <w:rPr>
          <w:rFonts w:ascii="Calibri" w:cs="Calibri" w:eastAsia="Calibri" w:hAnsi="Calibri"/>
          <w:color w:val="333333"/>
          <w:u w:val="none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enterprise AI transformation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for multi-billion-dollar biotech,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Agentic AI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GenAI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RPA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across 9 business functions; defined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 AI/data roadmap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with senior leadership and 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$250–$400M recurring value with 250%+ ROI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over 2 years. Collaborated with PMO, Change Management and cross-functional teams.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20" w:line="276" w:lineRule="auto"/>
        <w:ind w:left="90" w:right="-27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multi-agent platform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leveraging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 LLMs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for AI-driven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variance analysis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 Q&amp;A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scenario planning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, and baseline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forecasting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. Designed for a product costing team with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1-year payback, 830% ROI, and NPV of $5.6M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for a billion-dollar retail company.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20" w:line="276" w:lineRule="auto"/>
        <w:ind w:left="90" w:right="-27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Deployed 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LLM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-based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GenAI Medical Writing Solution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tool generating summaries of clinical trial results. Championed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responsible AI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—built a rigorous testing and monitoring framework ensuring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regulatory compliance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. Achieved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80%+ accuracy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across 8 independent testers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30% time savings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0F">
      <w:pPr>
        <w:tabs>
          <w:tab w:val="left" w:leader="none" w:pos="4230"/>
          <w:tab w:val="right" w:leader="none" w:pos="10350"/>
        </w:tabs>
        <w:spacing w:after="40" w:before="120" w:lineRule="auto"/>
        <w:ind w:left="-270" w:right="-270" w:firstLine="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1"/>
          <w:szCs w:val="21"/>
          <w:rtl w:val="0"/>
        </w:rPr>
        <w:t xml:space="preserve">Senior Consultant &amp; Consultant — Data Scientist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EY · Madrid, Zurich &amp; Atlanta, USA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March 2018 – June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90" w:right="-27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Revived a 2-year failing AI dynamic pricing initiative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by reengineering the solution, running A/B tests, and regaining stakeholder confidence; deployed in six months and scaled across North America, generating $1B in personalized offers with 2% conversion lift and 3% marketing spend reduction. Nominated as the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most successful AI program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90" w:right="-27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Pioneered and delivered a web-hosted AI internal audit tool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for EY's largest banking account using ML and NLP (semantic similarity &amp; reconciliation algorithms),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achieving 90% accuracy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up to 40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% reduction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audit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Secured $1.2M internal funding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 for the audit tool, which became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the foundation for EY's Global Canvas platform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tabs>
          <w:tab w:val="left" w:leader="none" w:pos="2970"/>
          <w:tab w:val="left" w:leader="none" w:pos="5040"/>
          <w:tab w:val="right" w:leader="none" w:pos="10350"/>
        </w:tabs>
        <w:spacing w:after="40" w:before="120" w:lineRule="auto"/>
        <w:ind w:left="-270" w:right="-27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5c"/>
          <w:sz w:val="21"/>
          <w:szCs w:val="21"/>
          <w:rtl w:val="0"/>
        </w:rPr>
        <w:tab/>
        <w:t xml:space="preserve">Data Scientist / Analyst</w:t>
      </w: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AstraZeneca · Zambon · LG Electronics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555555"/>
          <w:rtl w:val="0"/>
        </w:rPr>
        <w:t xml:space="preserve">Jan 2015 – Sep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90" w:right="-27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AstraZeneca: B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uilt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Markov chain Monte Carlo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simulation models for global clinical trial patient recruitment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90" w:right="-27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Zambon: Applied ML to optimize pharma sales force allocation and marketing ROI.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0" w:line="240" w:lineRule="auto"/>
        <w:ind w:left="90" w:right="-27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LG Electronics: Improved budget forecasting accuracy using regression modeling.</w:t>
      </w:r>
      <w:r w:rsidDel="00000000" w:rsidR="00000000" w:rsidRPr="00000000">
        <w:rPr>
          <w:rtl w:val="0"/>
        </w:rPr>
      </w:r>
    </w:p>
    <w:tbl>
      <w:tblPr>
        <w:tblStyle w:val="Table1"/>
        <w:tblW w:w="10435.0" w:type="dxa"/>
        <w:jc w:val="left"/>
        <w:tblInd w:w="-3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55"/>
        <w:gridCol w:w="3690"/>
        <w:gridCol w:w="3590"/>
        <w:tblGridChange w:id="0">
          <w:tblGrid>
            <w:gridCol w:w="3155"/>
            <w:gridCol w:w="3690"/>
            <w:gridCol w:w="3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40" w:before="40" w:lineRule="auto"/>
              <w:ind w:right="-270"/>
              <w:rPr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2"/>
                <w:szCs w:val="22"/>
                <w:u w:val="single"/>
                <w:rtl w:val="0"/>
              </w:rPr>
              <w:t xml:space="preserve">TECHNICAL SKILLS &amp; CERTS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40" w:before="40" w:lineRule="auto"/>
              <w:ind w:left="73" w:right="78" w:firstLine="0"/>
              <w:rPr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2"/>
                <w:szCs w:val="22"/>
                <w:u w:val="single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before="40" w:lineRule="auto"/>
              <w:ind w:right="-270"/>
              <w:rPr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5c"/>
                <w:sz w:val="22"/>
                <w:szCs w:val="22"/>
                <w:u w:val="single"/>
                <w:rtl w:val="0"/>
              </w:rPr>
              <w:t xml:space="preserve">ADDITIONAL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40" w:before="40" w:lineRule="auto"/>
              <w:ind w:left="-20" w:right="-113" w:firstLine="0"/>
              <w:rPr>
                <w:rFonts w:ascii="Calibri" w:cs="Calibri" w:eastAsia="Calibri" w:hAnsi="Calibri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Technical: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  Databricks, Azure, AWS, Python, SQL, Generative AI, Agentic AI, LLMs</w:t>
            </w:r>
          </w:p>
          <w:p w:rsidR="00000000" w:rsidDel="00000000" w:rsidP="00000000" w:rsidRDefault="00000000" w:rsidRPr="00000000" w14:paraId="0000001A">
            <w:pPr>
              <w:spacing w:after="40" w:before="40" w:lineRule="auto"/>
              <w:ind w:left="-20" w:right="-113" w:firstLine="0"/>
              <w:rPr>
                <w:rFonts w:ascii="Calibri" w:cs="Calibri" w:eastAsia="Calibri" w:hAnsi="Calibri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Certifications: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  Databricks Generative AI Engineer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right" w:leader="none" w:pos="9360"/>
              </w:tabs>
              <w:spacing w:after="40" w:before="80" w:lineRule="auto"/>
              <w:ind w:left="253" w:right="78" w:hanging="180"/>
              <w:rPr>
                <w:rFonts w:ascii="Calibri" w:cs="Calibri" w:eastAsia="Calibri" w:hAnsi="Calibri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MSc Data Science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(2016 – 2017)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 </w:t>
              <w:br w:type="textWrapping"/>
              <w:t xml:space="preserve">University of Lancaster, UK</w:t>
              <w:tab/>
            </w:r>
          </w:p>
          <w:p w:rsidR="00000000" w:rsidDel="00000000" w:rsidP="00000000" w:rsidRDefault="00000000" w:rsidRPr="00000000" w14:paraId="0000001C">
            <w:pPr>
              <w:tabs>
                <w:tab w:val="right" w:leader="none" w:pos="9360"/>
              </w:tabs>
              <w:spacing w:after="40" w:before="40" w:lineRule="auto"/>
              <w:ind w:left="253" w:right="-13" w:hanging="180"/>
              <w:rPr>
                <w:rFonts w:ascii="Calibri" w:cs="Calibri" w:eastAsia="Calibri" w:hAnsi="Calibri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BA International Business Economics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 (2011 – 2015)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br w:type="textWrapping"/>
              <w:t xml:space="preserve">Universitat Pompeu Fabra, Barcelona</w:t>
              <w:tab/>
            </w:r>
          </w:p>
          <w:p w:rsidR="00000000" w:rsidDel="00000000" w:rsidP="00000000" w:rsidRDefault="00000000" w:rsidRPr="00000000" w14:paraId="0000001D">
            <w:pPr>
              <w:spacing w:after="40" w:before="40" w:lineRule="auto"/>
              <w:ind w:left="73" w:right="7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before="40" w:lineRule="auto"/>
              <w:ind w:right="-270"/>
              <w:rPr>
                <w:rFonts w:ascii="Calibri" w:cs="Calibri" w:eastAsia="Calibri" w:hAnsi="Calibri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Languages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:  Trilingual — English, Spanish, Korean</w:t>
            </w:r>
          </w:p>
          <w:p w:rsidR="00000000" w:rsidDel="00000000" w:rsidP="00000000" w:rsidRDefault="00000000" w:rsidRPr="00000000" w14:paraId="0000001F">
            <w:pPr>
              <w:spacing w:after="40" w:before="40" w:lineRule="auto"/>
              <w:ind w:right="-270"/>
              <w:rPr>
                <w:rFonts w:ascii="Calibri" w:cs="Calibri" w:eastAsia="Calibri" w:hAnsi="Calibri"/>
                <w:color w:val="333333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33333"/>
                <w:sz w:val="16"/>
                <w:szCs w:val="16"/>
                <w:rtl w:val="0"/>
              </w:rPr>
              <w:t xml:space="preserve">Business Skills: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rtl w:val="0"/>
              </w:rPr>
              <w:t xml:space="preserve">  Executive &amp; Stakeholder Management, Team Leadership &amp; Mentorship, GTM Strategy, Revenue &amp; Management, Product Strategy, Design Thinking, Agile Methodologies</w:t>
            </w:r>
          </w:p>
        </w:tc>
      </w:tr>
    </w:tbl>
    <w:p w:rsidR="00000000" w:rsidDel="00000000" w:rsidP="00000000" w:rsidRDefault="00000000" w:rsidRPr="00000000" w14:paraId="00000020">
      <w:pPr>
        <w:spacing w:after="40" w:before="40" w:lineRule="auto"/>
        <w:ind w:right="-27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table" w:styleId="TableGrid">
    <w:name w:val="Table Grid"/>
    <w:basedOn w:val="TableNormal"/>
    <w:uiPriority w:val="39"/>
    <w:rsid w:val="006625C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53D1Gu9/Ut1sd/Lj+GLWAK1W9w==">CgMxLjA4AHIhMXF5NmdYTzh1Nk40SWd6M1V0VWRCSHJSNzFEak5OcVBj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2026-02-28T20:28:00Z</dcterms:created>
  <dc:creator>Un-named</dc:creator>
</cp:coreProperties>
</file>