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Our team has carefully curated this analysis based on an extensive review of the year's financial data.</w:t>
      </w:r>
    </w:p>
    <w:p>
      <w:pPr>
        <w:pStyle w:val="Heading2"/>
      </w:pPr>
      <w:r>
        <w:t>Methodology</w:t>
      </w:r>
    </w:p>
    <w:p>
      <w:r>
        <w:t>Using a mix of AI-driven insights and traditional analysis, we derived the conclusions presented below.</w:t>
        <w:br/>
        <w:t>Using advanced analytical tools, we've deciphered trends from the vast amounts of data present in our financial statements.</w:t>
      </w:r>
    </w:p>
    <w:p>
      <w:pPr>
        <w:pStyle w:val="Heading2"/>
      </w:pPr>
      <w:r>
        <w:t>Key Findings</w:t>
      </w:r>
    </w:p>
    <w:p>
      <w:r>
        <w:t>There was a notable increase in our net profit margin, suggesting efficient cost management.</w:t>
        <w:br/>
        <w:t>There's been a significant rise in long-term liabilities which warrants further investigation.</w:t>
        <w:br/>
        <w:t>Our current ratio suggests we are in a strong position to cover our short-term liabilities.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-8%</w:t>
            </w:r>
          </w:p>
        </w:tc>
      </w:tr>
      <w:tr>
        <w:tc>
          <w:tcPr>
            <w:tcW w:type="dxa" w:w="2880"/>
          </w:tcPr>
          <w:p>
            <w:r>
              <w:t>Liquidity Ratio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1%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Liquidity Ratio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7%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-10%</w:t>
            </w:r>
          </w:p>
        </w:tc>
      </w:tr>
    </w:tbl>
    <w:p>
      <w:pPr>
        <w:pStyle w:val="Heading2"/>
      </w:pPr>
      <w:r>
        <w:t>Conclusion</w:t>
      </w:r>
    </w:p>
    <w:p>
      <w:r>
        <w:t>The insights from this analysis provide a roadmap for the next fiscal year. Strategic adjustments are recommended in specific areas.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