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Analysis Report</w:t>
      </w:r>
    </w:p>
    <w:p>
      <w:pPr>
        <w:pStyle w:val="Heading2"/>
      </w:pPr>
      <w:r>
        <w:t>Introduction</w:t>
      </w:r>
    </w:p>
    <w:p>
      <w:r>
        <w:t>This report elucidates the financial trends and patterns observed in the past fiscal year.</w:t>
      </w:r>
    </w:p>
    <w:p>
      <w:pPr>
        <w:pStyle w:val="Heading2"/>
      </w:pPr>
      <w:r>
        <w:t>Methodology</w:t>
      </w:r>
    </w:p>
    <w:p>
      <w:r>
        <w:t>Our methods encompass both heuristic evaluations and rigorous number-crunching techniques.</w:t>
        <w:br/>
        <w:t>We employed a three-pronged approach, considering past trends, current data, and forward-looking indicators.</w:t>
      </w:r>
    </w:p>
    <w:p>
      <w:pPr>
        <w:pStyle w:val="Heading2"/>
      </w:pPr>
      <w:r>
        <w:t>Key Findings</w:t>
      </w:r>
    </w:p>
    <w:p>
      <w:r>
        <w:t>There's been a significant rise in long-term liabilities which warrants further investigation.</w:t>
        <w:br/>
        <w:t>There was a notable increase in our net profit margin, suggesting efficient cost management.</w:t>
        <w:br/>
        <w:t>Our gross profit margin shows a steady increase, pointing towards an efficient production process.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-4%</w:t>
            </w:r>
          </w:p>
        </w:tc>
      </w:tr>
      <w:tr>
        <w:tc>
          <w:tcPr>
            <w:tcW w:type="dxa" w:w="2880"/>
          </w:tcPr>
          <w:p>
            <w:r>
              <w:t>Asset Turnover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-6%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-1%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Asset Turnover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-5%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2%</w:t>
            </w:r>
          </w:p>
        </w:tc>
      </w:tr>
      <w:tr>
        <w:tc>
          <w:tcPr>
            <w:tcW w:type="dxa" w:w="2880"/>
          </w:tcPr>
          <w:p>
            <w:r>
              <w:t>Asset Turnover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1%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9%</w:t>
            </w:r>
          </w:p>
        </w:tc>
      </w:tr>
    </w:tbl>
    <w:p>
      <w:pPr>
        <w:pStyle w:val="Heading2"/>
      </w:pPr>
      <w:r>
        <w:t>Conclusion</w:t>
      </w:r>
    </w:p>
    <w:p>
      <w:r>
        <w:t>The financial trends suggest that the company is on a growth trajectory. However, monitoring key metrics is essential.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internal ##</cp:contentStatus>
</cp:coreProperties>
</file>