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pPr>
        <w:pStyle w:val="Heading2"/>
      </w:pPr>
      <w:r>
        <w:t>Introduction</w:t>
      </w:r>
    </w:p>
    <w:p>
      <w:r>
        <w:t>This report elucidates the financial trends and patterns observed in the past fiscal year.</w:t>
      </w:r>
    </w:p>
    <w:p>
      <w:pPr>
        <w:pStyle w:val="Heading2"/>
      </w:pPr>
      <w:r>
        <w:t>Methodology</w:t>
      </w:r>
    </w:p>
    <w:p>
      <w:r>
        <w:t>Our team relied on industry-standard benchmarks and cutting-edge analytical tools for this analysis.</w:t>
        <w:br/>
        <w:t>Our methods encompass both heuristic evaluations and rigorous number-crunching techniques.</w:t>
      </w:r>
    </w:p>
    <w:p>
      <w:pPr>
        <w:pStyle w:val="Heading2"/>
      </w:pPr>
      <w:r>
        <w:t>Key Findings</w:t>
      </w:r>
    </w:p>
    <w:p>
      <w:r>
        <w:t>The liquidity ratio is above the industry average, indicating a healthy short-term financial position.</w:t>
        <w:br/>
        <w:t>There has been a substantial increase in shareholder equity this year.</w:t>
        <w:br/>
        <w:t>Our return on investment (ROI) has decreased slightly compared to the previous year.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7%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-10%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8%</w:t>
            </w:r>
          </w:p>
        </w:tc>
      </w:tr>
    </w:tbl>
    <w:p>
      <w:pPr>
        <w:pStyle w:val="Heading2"/>
      </w:pPr>
      <w:r>
        <w:t>Conclusion</w:t>
      </w:r>
    </w:p>
    <w:p>
      <w:r>
        <w:t>Based on our findings, the company has several strengths to capitalize on, but also areas of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internal ##</cp:contentStatus>
</cp:coreProperties>
</file>