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5C6" w:rsidRDefault="008E15C6" w:rsidP="008E15C6">
      <w:pPr>
        <w:pStyle w:val="Ttulo2"/>
      </w:pPr>
      <w:bookmarkStart w:id="0" w:name="_GoBack"/>
      <w:bookmarkEnd w:id="0"/>
      <w:r>
        <w:rPr>
          <w:highlight w:val="yellow"/>
        </w:rPr>
        <w:t>4.3 Documentación de pruebas</w:t>
      </w:r>
    </w:p>
    <w:p w:rsidR="008E15C6" w:rsidRDefault="008E15C6" w:rsidP="008E15C6">
      <w:r>
        <w:t>A continuación, vamos a ver los requisitos que se cumplen y los que no con el prototipo de visualización de datos con Ggplot2.</w:t>
      </w:r>
    </w:p>
    <w:tbl>
      <w:tblPr>
        <w:tblStyle w:val="Tablaconcuadrcula"/>
        <w:tblW w:w="0" w:type="auto"/>
        <w:tblInd w:w="0" w:type="dxa"/>
        <w:tblLook w:val="04A0" w:firstRow="1" w:lastRow="0" w:firstColumn="1" w:lastColumn="0" w:noHBand="0" w:noVBand="1"/>
      </w:tblPr>
      <w:tblGrid>
        <w:gridCol w:w="913"/>
        <w:gridCol w:w="3115"/>
        <w:gridCol w:w="545"/>
        <w:gridCol w:w="3915"/>
      </w:tblGrid>
      <w:tr w:rsidR="008E15C6" w:rsidTr="008E15C6">
        <w:trPr>
          <w:tblHeader/>
        </w:trPr>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b/>
              </w:rPr>
            </w:pPr>
            <w:bookmarkStart w:id="1" w:name="_Toc448254559"/>
            <w:r>
              <w:rPr>
                <w:b/>
              </w:rPr>
              <w:t>REQ.</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b/>
              </w:rPr>
            </w:pPr>
            <w:r>
              <w:rPr>
                <w:b/>
              </w:rPr>
              <w:t>DESCRIPCIÓN</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rPr>
                <w:b/>
              </w:rPr>
            </w:pPr>
            <w:r>
              <w:rPr>
                <w:b/>
              </w:rPr>
              <w:t>√/</w:t>
            </w:r>
            <w:r>
              <w:t>X</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b/>
              </w:rPr>
            </w:pPr>
            <w:r>
              <w:rPr>
                <w:b/>
              </w:rPr>
              <w:t>Observaciones</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RF01</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deberán mostrar diferentes niveles de granularidad.</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t>X</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No se puede hacer en Ggplot2</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RF02</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deberá poder aumentar el nivel de abstracción.</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t>X</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RF03</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deberán poder mostrar dependencias y relaciones entre los datos de forma clara.</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rPr>
                <w:b/>
              </w:rP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ven claramente las dependencias en los gráficos</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RF04</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Se permitirá hacer </w:t>
            </w:r>
            <w:proofErr w:type="gramStart"/>
            <w:r>
              <w:t>zoom</w:t>
            </w:r>
            <w:proofErr w:type="gramEnd"/>
            <w:r>
              <w:t>.</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RF05</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mostrará información adicional al pasar el ratón por encima de elementos.</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t>X</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No se muestra información adicional, es una imagen estática que se genera</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RF06</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Implementar </w:t>
            </w:r>
            <w:proofErr w:type="spellStart"/>
            <w:r>
              <w:t>checkboxes</w:t>
            </w:r>
            <w:proofErr w:type="spellEnd"/>
            <w:r>
              <w:t xml:space="preserve"> para filtrar la información se desee mostrar.</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t>X</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No se puede hacer con Ggplot2</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color w:val="000000" w:themeColor="text1"/>
              </w:rPr>
            </w:pPr>
            <w:r>
              <w:rPr>
                <w:color w:val="000000" w:themeColor="text1"/>
              </w:rPr>
              <w:t>RF07</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color w:val="000000" w:themeColor="text1"/>
              </w:rPr>
            </w:pPr>
            <w:r>
              <w:rPr>
                <w:color w:val="000000" w:themeColor="text1"/>
              </w:rPr>
              <w:t xml:space="preserve">Se podrá analizar y mostrar los datos de diferentes maneras, entre ellas en </w:t>
            </w:r>
            <w:r>
              <w:rPr>
                <w:i/>
                <w:color w:val="000000" w:themeColor="text1"/>
              </w:rPr>
              <w:t>conjuntos.</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rPr>
                <w:color w:val="000000" w:themeColor="text1"/>
              </w:rPr>
            </w:pPr>
            <w:r>
              <w:rPr>
                <w:b/>
                <w:color w:val="000000" w:themeColor="text1"/>
              </w:rPr>
              <w:t>X</w:t>
            </w:r>
          </w:p>
        </w:tc>
        <w:tc>
          <w:tcPr>
            <w:tcW w:w="4056" w:type="dxa"/>
            <w:tcBorders>
              <w:top w:val="single" w:sz="4" w:space="0" w:color="auto"/>
              <w:left w:val="single" w:sz="4" w:space="0" w:color="auto"/>
              <w:bottom w:val="single" w:sz="4" w:space="0" w:color="auto"/>
              <w:right w:val="single" w:sz="4" w:space="0" w:color="auto"/>
            </w:tcBorders>
          </w:tcPr>
          <w:p w:rsidR="008E15C6" w:rsidRDefault="008E15C6">
            <w:pPr>
              <w:spacing w:after="0" w:line="240" w:lineRule="auto"/>
            </w:pP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RF08</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Se podrá analizar y mostrar los datos de diferentes maneras, entre ellas en </w:t>
            </w:r>
            <w:proofErr w:type="spellStart"/>
            <w:proofErr w:type="gramStart"/>
            <w:r>
              <w:rPr>
                <w:i/>
              </w:rPr>
              <w:t>clusters</w:t>
            </w:r>
            <w:proofErr w:type="spellEnd"/>
            <w:proofErr w:type="gramEnd"/>
            <w:r>
              <w:rPr>
                <w:i/>
              </w:rPr>
              <w:t>.</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Se puede hacer visualización de </w:t>
            </w:r>
            <w:proofErr w:type="spellStart"/>
            <w:proofErr w:type="gramStart"/>
            <w:r>
              <w:t>clusters</w:t>
            </w:r>
            <w:proofErr w:type="spellEnd"/>
            <w:proofErr w:type="gramEnd"/>
            <w:r>
              <w:t>. Pero no se ha hecho en este prototipo concreto</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RF09</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Se podrá analizar y mostrar los datos de diferentes maneras, entre ellas </w:t>
            </w:r>
            <w:r>
              <w:rPr>
                <w:i/>
              </w:rPr>
              <w:t>ordenados.</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A través de comandos el usuario puede cambiar la configuración predefinida</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RF10</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podrán comparar cambios cada cierto tiempo y entre versiones diferentes del software.</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Nos debemos meter a ver las características de cada versión en internet.</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RNF01</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podrá cambiar el color y la representación de los datos.</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Con (</w:t>
            </w:r>
            <w:proofErr w:type="spellStart"/>
            <w:r>
              <w:t>theme</w:t>
            </w:r>
            <w:proofErr w:type="spellEnd"/>
            <w:r>
              <w:t>) podremos cambiar la configuración de colores</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RNF02</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Se mostrarán los datos de una manera sencilla que facilite la comprensión.</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Predomina la simplicidad</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RNF03</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 xml:space="preserve">El </w:t>
            </w:r>
            <w:proofErr w:type="spellStart"/>
            <w:r>
              <w:t>framework</w:t>
            </w:r>
            <w:proofErr w:type="spellEnd"/>
            <w:r>
              <w:t xml:space="preserve"> utilizara el lenguaje de programación R</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Ggplot2 es una librería de visualización de datos en R</w:t>
            </w:r>
          </w:p>
        </w:tc>
      </w:tr>
      <w:tr w:rsidR="008E15C6" w:rsidTr="008E15C6">
        <w:tc>
          <w:tcPr>
            <w:tcW w:w="913"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pPr>
            <w:r>
              <w:t>RNF04</w:t>
            </w:r>
          </w:p>
        </w:tc>
        <w:tc>
          <w:tcPr>
            <w:tcW w:w="320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lang w:val="en-US"/>
              </w:rPr>
            </w:pPr>
            <w:r>
              <w:rPr>
                <w:lang w:val="en-US"/>
              </w:rPr>
              <w:t xml:space="preserve">El framework </w:t>
            </w:r>
            <w:proofErr w:type="spellStart"/>
            <w:r>
              <w:rPr>
                <w:lang w:val="en-US"/>
              </w:rPr>
              <w:t>será</w:t>
            </w:r>
            <w:proofErr w:type="spellEnd"/>
            <w:r>
              <w:rPr>
                <w:lang w:val="en-US"/>
              </w:rPr>
              <w:t xml:space="preserve"> open source</w:t>
            </w:r>
          </w:p>
        </w:tc>
        <w:tc>
          <w:tcPr>
            <w:tcW w:w="545"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jc w:val="center"/>
              <w:rPr>
                <w:lang w:val="en-US"/>
              </w:rPr>
            </w:pPr>
            <w:r>
              <w:rPr>
                <w:b/>
              </w:rPr>
              <w:t>√</w:t>
            </w:r>
          </w:p>
        </w:tc>
        <w:tc>
          <w:tcPr>
            <w:tcW w:w="4056" w:type="dxa"/>
            <w:tcBorders>
              <w:top w:val="single" w:sz="4" w:space="0" w:color="auto"/>
              <w:left w:val="single" w:sz="4" w:space="0" w:color="auto"/>
              <w:bottom w:val="single" w:sz="4" w:space="0" w:color="auto"/>
              <w:right w:val="single" w:sz="4" w:space="0" w:color="auto"/>
            </w:tcBorders>
            <w:hideMark/>
          </w:tcPr>
          <w:p w:rsidR="008E15C6" w:rsidRDefault="008E15C6">
            <w:pPr>
              <w:spacing w:after="0" w:line="240" w:lineRule="auto"/>
              <w:rPr>
                <w:lang w:val="en-US"/>
              </w:rPr>
            </w:pPr>
            <w:r>
              <w:rPr>
                <w:lang w:val="en-US"/>
              </w:rPr>
              <w:t xml:space="preserve">Ggplot2 </w:t>
            </w:r>
            <w:proofErr w:type="spellStart"/>
            <w:r>
              <w:rPr>
                <w:lang w:val="en-US"/>
              </w:rPr>
              <w:t>es</w:t>
            </w:r>
            <w:proofErr w:type="spellEnd"/>
            <w:r>
              <w:rPr>
                <w:lang w:val="en-US"/>
              </w:rPr>
              <w:t xml:space="preserve"> Open Source</w:t>
            </w:r>
          </w:p>
        </w:tc>
      </w:tr>
    </w:tbl>
    <w:p w:rsidR="008E15C6" w:rsidRDefault="008E15C6" w:rsidP="008E15C6">
      <w:pPr>
        <w:pStyle w:val="Ttulo2"/>
      </w:pPr>
      <w:r>
        <w:rPr>
          <w:highlight w:val="yellow"/>
        </w:rPr>
        <w:t>4.4 Documentación de instalación</w:t>
      </w:r>
      <w:bookmarkEnd w:id="1"/>
    </w:p>
    <w:p w:rsidR="008E15C6" w:rsidRDefault="008E15C6" w:rsidP="008E15C6">
      <w:r>
        <w:t xml:space="preserve">Para la realización de el prototipo vamos a hacer uso de </w:t>
      </w:r>
      <w:proofErr w:type="spellStart"/>
      <w:r>
        <w:t>Rstudio</w:t>
      </w:r>
      <w:proofErr w:type="spellEnd"/>
      <w:r>
        <w:t xml:space="preserve"> y más concretamente, la librería Ggplot2 para la realización de las gráficas para su posterior comparación.</w:t>
      </w:r>
    </w:p>
    <w:p w:rsidR="008E15C6" w:rsidRDefault="008E15C6" w:rsidP="008E15C6">
      <w:r>
        <w:lastRenderedPageBreak/>
        <w:t xml:space="preserve">A continuación, vamos a explicar la instalación de la librería en cuestión. Lo primero de todo será instalar y abrir la aplicación de </w:t>
      </w:r>
      <w:proofErr w:type="spellStart"/>
      <w:r>
        <w:t>Rstudio</w:t>
      </w:r>
      <w:proofErr w:type="spellEnd"/>
      <w:r>
        <w:t xml:space="preserve">, y después de esto nos deberemos dirigir al apartado de </w:t>
      </w:r>
      <w:proofErr w:type="spellStart"/>
      <w:r>
        <w:t>Tool</w:t>
      </w:r>
      <w:proofErr w:type="spellEnd"/>
      <w:r>
        <w:t xml:space="preserve"> e </w:t>
      </w:r>
      <w:proofErr w:type="spellStart"/>
      <w:r>
        <w:t>install</w:t>
      </w:r>
      <w:proofErr w:type="spellEnd"/>
      <w:r>
        <w:t xml:space="preserve"> </w:t>
      </w:r>
      <w:proofErr w:type="spellStart"/>
      <w:r>
        <w:t>packages</w:t>
      </w:r>
      <w:proofErr w:type="spellEnd"/>
      <w:r>
        <w:t xml:space="preserve"> como aparece en la captura inferior.</w:t>
      </w:r>
    </w:p>
    <w:p w:rsidR="008E15C6" w:rsidRDefault="008E15C6" w:rsidP="008E15C6">
      <w:r>
        <w:rPr>
          <w:noProof/>
        </w:rPr>
        <w:drawing>
          <wp:inline distT="0" distB="0" distL="0" distR="0">
            <wp:extent cx="4049395" cy="1396365"/>
            <wp:effectExtent l="12700" t="12700" r="14605"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49395" cy="1396365"/>
                    </a:xfrm>
                    <a:prstGeom prst="rect">
                      <a:avLst/>
                    </a:prstGeom>
                    <a:noFill/>
                    <a:ln w="9525" cmpd="sng">
                      <a:solidFill>
                        <a:srgbClr val="000000"/>
                      </a:solidFill>
                      <a:miter lim="800000"/>
                      <a:headEnd/>
                      <a:tailEnd/>
                    </a:ln>
                    <a:effectLst/>
                  </pic:spPr>
                </pic:pic>
              </a:graphicData>
            </a:graphic>
          </wp:inline>
        </w:drawing>
      </w:r>
    </w:p>
    <w:p w:rsidR="008E15C6" w:rsidRDefault="008E15C6" w:rsidP="008E15C6">
      <w:r>
        <w:t>Nos aparecerá la pantalla emergente que vemos en la captura inferior, y deberemos introducir por teclado el nombre de la librería que queremos incluir. Después de esto instalamos y vemos por la consola si se ha instalado correctamente.</w:t>
      </w:r>
    </w:p>
    <w:p w:rsidR="008E15C6" w:rsidRDefault="008E15C6" w:rsidP="008E15C6">
      <w:r>
        <w:rPr>
          <w:noProof/>
        </w:rPr>
        <w:drawing>
          <wp:inline distT="0" distB="0" distL="0" distR="0">
            <wp:extent cx="3526790" cy="1926590"/>
            <wp:effectExtent l="12700" t="12700" r="1651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6790" cy="1926590"/>
                    </a:xfrm>
                    <a:prstGeom prst="rect">
                      <a:avLst/>
                    </a:prstGeom>
                    <a:noFill/>
                    <a:ln w="9525" cmpd="sng">
                      <a:solidFill>
                        <a:srgbClr val="000000"/>
                      </a:solidFill>
                      <a:miter lim="800000"/>
                      <a:headEnd/>
                      <a:tailEnd/>
                    </a:ln>
                    <a:effectLst/>
                  </pic:spPr>
                </pic:pic>
              </a:graphicData>
            </a:graphic>
          </wp:inline>
        </w:drawing>
      </w:r>
    </w:p>
    <w:p w:rsidR="008E15C6" w:rsidRDefault="008E15C6" w:rsidP="008E15C6">
      <w:r>
        <w:rPr>
          <w:noProof/>
        </w:rPr>
        <w:drawing>
          <wp:inline distT="0" distB="0" distL="0" distR="0">
            <wp:extent cx="4555490" cy="1437005"/>
            <wp:effectExtent l="12700" t="12700" r="1651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5490" cy="1437005"/>
                    </a:xfrm>
                    <a:prstGeom prst="rect">
                      <a:avLst/>
                    </a:prstGeom>
                    <a:noFill/>
                    <a:ln w="9525" cmpd="sng">
                      <a:solidFill>
                        <a:srgbClr val="000000"/>
                      </a:solidFill>
                      <a:miter lim="800000"/>
                      <a:headEnd/>
                      <a:tailEnd/>
                    </a:ln>
                    <a:effectLst/>
                  </pic:spPr>
                </pic:pic>
              </a:graphicData>
            </a:graphic>
          </wp:inline>
        </w:drawing>
      </w:r>
    </w:p>
    <w:p w:rsidR="008E15C6" w:rsidRDefault="008E15C6" w:rsidP="008E15C6">
      <w:r>
        <w:rPr>
          <w:noProof/>
        </w:rPr>
        <w:drawing>
          <wp:inline distT="0" distB="0" distL="0" distR="0">
            <wp:extent cx="5396230" cy="612140"/>
            <wp:effectExtent l="12700" t="12700" r="1397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612140"/>
                    </a:xfrm>
                    <a:prstGeom prst="rect">
                      <a:avLst/>
                    </a:prstGeom>
                    <a:noFill/>
                    <a:ln w="9525" cmpd="sng">
                      <a:solidFill>
                        <a:srgbClr val="000000"/>
                      </a:solidFill>
                      <a:miter lim="800000"/>
                      <a:headEnd/>
                      <a:tailEnd/>
                    </a:ln>
                    <a:effectLst/>
                  </pic:spPr>
                </pic:pic>
              </a:graphicData>
            </a:graphic>
          </wp:inline>
        </w:drawing>
      </w:r>
    </w:p>
    <w:p w:rsidR="008E15C6" w:rsidRDefault="008E15C6" w:rsidP="008E15C6">
      <w:r>
        <w:t>A partir de aquí ya podemos empezar a trabajar.</w:t>
      </w:r>
    </w:p>
    <w:p w:rsidR="008E15C6" w:rsidRDefault="008E15C6" w:rsidP="008E15C6"/>
    <w:p w:rsidR="008E15C6" w:rsidRDefault="008E15C6" w:rsidP="008E15C6">
      <w:pPr>
        <w:pStyle w:val="Ttulo2"/>
      </w:pPr>
      <w:bookmarkStart w:id="2" w:name="_Toc448254560"/>
      <w:r>
        <w:rPr>
          <w:highlight w:val="yellow"/>
        </w:rPr>
        <w:t>4.5 Manual de usuario</w:t>
      </w:r>
      <w:bookmarkEnd w:id="2"/>
    </w:p>
    <w:p w:rsidR="008E15C6" w:rsidRDefault="008E15C6" w:rsidP="008E15C6">
      <w:r>
        <w:t xml:space="preserve">Ggplot2 es una librería de R. En el punto anterior hemos explicado su instalación. Esta librería se usa a través de la consola de </w:t>
      </w:r>
      <w:proofErr w:type="spellStart"/>
      <w:r>
        <w:t>RStudio</w:t>
      </w:r>
      <w:proofErr w:type="spellEnd"/>
      <w:r>
        <w:t>.</w:t>
      </w:r>
    </w:p>
    <w:p w:rsidR="008E15C6" w:rsidRDefault="008E15C6" w:rsidP="008E15C6">
      <w:r>
        <w:lastRenderedPageBreak/>
        <w:t>Para hacer los diversos gráficos que hemos explicado anteriormente, solo debemos introducir el código correspondiente al gráfico que queremos implementar. Toda esta información aparece en el apartado de implementación de el prototipo.</w:t>
      </w:r>
    </w:p>
    <w:p w:rsidR="008E15C6" w:rsidRDefault="008E15C6" w:rsidP="008E15C6">
      <w:pPr>
        <w:jc w:val="left"/>
      </w:pPr>
      <w:r>
        <w:t>Gráfico de barras: Con los siguientes comandos podemos hacer un gráfico de barras coloreados.</w:t>
      </w:r>
    </w:p>
    <w:p w:rsidR="008E15C6" w:rsidRDefault="008E15C6" w:rsidP="008E15C6">
      <w:pPr>
        <w:jc w:val="left"/>
        <w:rPr>
          <w:rFonts w:eastAsiaTheme="majorEastAsia"/>
          <w:b/>
          <w:color w:val="000000" w:themeColor="text1"/>
          <w:sz w:val="28"/>
          <w:szCs w:val="28"/>
        </w:rPr>
      </w:pPr>
      <w:r>
        <w:rPr>
          <w:noProof/>
        </w:rPr>
        <w:drawing>
          <wp:inline distT="0" distB="0" distL="0" distR="0">
            <wp:extent cx="5396230" cy="497840"/>
            <wp:effectExtent l="12700" t="12700" r="13970"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497840"/>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r>
        <w:rPr>
          <w:rFonts w:eastAsiaTheme="majorEastAsia"/>
          <w:color w:val="000000" w:themeColor="text1"/>
          <w:szCs w:val="28"/>
        </w:rPr>
        <w:t xml:space="preserve">Gráfico pastel: dentro de las variables </w:t>
      </w:r>
      <w:proofErr w:type="spellStart"/>
      <w:r>
        <w:rPr>
          <w:rFonts w:eastAsiaTheme="majorEastAsia"/>
          <w:color w:val="000000" w:themeColor="text1"/>
          <w:szCs w:val="28"/>
        </w:rPr>
        <w:t>slices</w:t>
      </w:r>
      <w:proofErr w:type="spellEnd"/>
      <w:r>
        <w:rPr>
          <w:rFonts w:eastAsiaTheme="majorEastAsia"/>
          <w:color w:val="000000" w:themeColor="text1"/>
          <w:szCs w:val="28"/>
        </w:rPr>
        <w:t xml:space="preserve"> y </w:t>
      </w:r>
      <w:proofErr w:type="spellStart"/>
      <w:r>
        <w:rPr>
          <w:rFonts w:eastAsiaTheme="majorEastAsia"/>
          <w:color w:val="000000" w:themeColor="text1"/>
          <w:szCs w:val="28"/>
        </w:rPr>
        <w:t>lbls</w:t>
      </w:r>
      <w:proofErr w:type="spellEnd"/>
      <w:r>
        <w:rPr>
          <w:rFonts w:eastAsiaTheme="majorEastAsia"/>
          <w:color w:val="000000" w:themeColor="text1"/>
          <w:szCs w:val="28"/>
        </w:rPr>
        <w:t xml:space="preserve"> vamos a introducir los datos.</w:t>
      </w:r>
    </w:p>
    <w:p w:rsidR="008E15C6" w:rsidRDefault="008E15C6" w:rsidP="008E15C6">
      <w:pPr>
        <w:jc w:val="left"/>
        <w:rPr>
          <w:rFonts w:eastAsiaTheme="majorEastAsia"/>
          <w:color w:val="000000" w:themeColor="text1"/>
          <w:szCs w:val="28"/>
        </w:rPr>
      </w:pPr>
      <w:r>
        <w:rPr>
          <w:noProof/>
        </w:rPr>
        <w:drawing>
          <wp:inline distT="0" distB="0" distL="0" distR="0">
            <wp:extent cx="3616960" cy="800100"/>
            <wp:effectExtent l="12700" t="12700" r="1524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800100"/>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r>
        <w:rPr>
          <w:rFonts w:eastAsiaTheme="majorEastAsia"/>
          <w:color w:val="000000" w:themeColor="text1"/>
          <w:szCs w:val="28"/>
        </w:rPr>
        <w:t>Histograma:</w:t>
      </w:r>
    </w:p>
    <w:p w:rsidR="008E15C6" w:rsidRDefault="008E15C6" w:rsidP="008E15C6">
      <w:pPr>
        <w:jc w:val="left"/>
        <w:rPr>
          <w:rFonts w:eastAsiaTheme="majorEastAsia"/>
          <w:color w:val="000000" w:themeColor="text1"/>
          <w:szCs w:val="28"/>
        </w:rPr>
      </w:pPr>
      <w:r>
        <w:rPr>
          <w:noProof/>
        </w:rPr>
        <w:drawing>
          <wp:inline distT="0" distB="0" distL="0" distR="0">
            <wp:extent cx="3037205" cy="359410"/>
            <wp:effectExtent l="12700" t="12700" r="1079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205" cy="359410"/>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r>
        <w:rPr>
          <w:rFonts w:eastAsiaTheme="majorEastAsia"/>
          <w:color w:val="000000" w:themeColor="text1"/>
          <w:szCs w:val="28"/>
        </w:rPr>
        <w:t xml:space="preserve">Gráfico de densidad </w:t>
      </w:r>
      <w:proofErr w:type="spellStart"/>
      <w:r>
        <w:rPr>
          <w:rFonts w:eastAsiaTheme="majorEastAsia"/>
          <w:color w:val="000000" w:themeColor="text1"/>
          <w:szCs w:val="28"/>
        </w:rPr>
        <w:t>Kernel</w:t>
      </w:r>
      <w:proofErr w:type="spellEnd"/>
      <w:r>
        <w:rPr>
          <w:rFonts w:eastAsiaTheme="majorEastAsia"/>
          <w:color w:val="000000" w:themeColor="text1"/>
          <w:szCs w:val="28"/>
        </w:rPr>
        <w:t>:</w:t>
      </w:r>
    </w:p>
    <w:p w:rsidR="008E15C6" w:rsidRDefault="008E15C6" w:rsidP="008E15C6">
      <w:pPr>
        <w:jc w:val="left"/>
        <w:rPr>
          <w:rFonts w:eastAsiaTheme="majorEastAsia"/>
          <w:color w:val="000000" w:themeColor="text1"/>
          <w:szCs w:val="28"/>
        </w:rPr>
      </w:pPr>
      <w:r>
        <w:rPr>
          <w:noProof/>
        </w:rPr>
        <w:drawing>
          <wp:inline distT="0" distB="0" distL="0" distR="0">
            <wp:extent cx="3355340" cy="865505"/>
            <wp:effectExtent l="12700" t="12700" r="10160"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340" cy="865505"/>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p>
    <w:p w:rsidR="008E15C6" w:rsidRDefault="008E15C6" w:rsidP="008E15C6">
      <w:pPr>
        <w:jc w:val="left"/>
        <w:rPr>
          <w:rFonts w:eastAsiaTheme="majorEastAsia"/>
          <w:color w:val="000000" w:themeColor="text1"/>
          <w:szCs w:val="28"/>
        </w:rPr>
      </w:pPr>
      <w:r>
        <w:rPr>
          <w:rFonts w:eastAsiaTheme="majorEastAsia"/>
          <w:color w:val="000000" w:themeColor="text1"/>
          <w:szCs w:val="28"/>
        </w:rPr>
        <w:t>Gráfico de líneas:</w:t>
      </w:r>
    </w:p>
    <w:p w:rsidR="008E15C6" w:rsidRDefault="008E15C6" w:rsidP="008E15C6">
      <w:pPr>
        <w:jc w:val="left"/>
        <w:rPr>
          <w:rFonts w:eastAsiaTheme="majorEastAsia"/>
          <w:color w:val="000000" w:themeColor="text1"/>
          <w:szCs w:val="28"/>
        </w:rPr>
      </w:pPr>
      <w:r>
        <w:rPr>
          <w:noProof/>
        </w:rPr>
        <w:drawing>
          <wp:inline distT="0" distB="0" distL="0" distR="0">
            <wp:extent cx="3796665" cy="979805"/>
            <wp:effectExtent l="12700" t="12700" r="1333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665" cy="979805"/>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r>
        <w:rPr>
          <w:rFonts w:eastAsiaTheme="majorEastAsia"/>
          <w:color w:val="000000" w:themeColor="text1"/>
          <w:szCs w:val="28"/>
        </w:rPr>
        <w:t>Gráfico de caja y bigotes:</w:t>
      </w:r>
    </w:p>
    <w:p w:rsidR="008E15C6" w:rsidRDefault="008E15C6" w:rsidP="008E15C6">
      <w:pPr>
        <w:jc w:val="left"/>
        <w:rPr>
          <w:rFonts w:eastAsiaTheme="majorEastAsia"/>
          <w:color w:val="000000" w:themeColor="text1"/>
          <w:szCs w:val="28"/>
        </w:rPr>
      </w:pPr>
      <w:r>
        <w:rPr>
          <w:noProof/>
        </w:rPr>
        <w:drawing>
          <wp:inline distT="0" distB="0" distL="0" distR="0">
            <wp:extent cx="3445510" cy="1012190"/>
            <wp:effectExtent l="12700" t="12700" r="8890" b="165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5510" cy="1012190"/>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r>
        <w:rPr>
          <w:rFonts w:eastAsiaTheme="majorEastAsia"/>
          <w:color w:val="000000" w:themeColor="text1"/>
          <w:szCs w:val="28"/>
        </w:rPr>
        <w:t>Nube de palabras: Si queremos que aparezca otra nube de palabras, las deberemos cambiar dentro del código.</w:t>
      </w:r>
    </w:p>
    <w:p w:rsidR="008E15C6" w:rsidRDefault="008E15C6" w:rsidP="008E15C6">
      <w:pPr>
        <w:jc w:val="left"/>
        <w:rPr>
          <w:rFonts w:eastAsiaTheme="majorEastAsia"/>
          <w:color w:val="000000" w:themeColor="text1"/>
          <w:szCs w:val="28"/>
        </w:rPr>
      </w:pPr>
      <w:r>
        <w:rPr>
          <w:noProof/>
        </w:rPr>
        <w:lastRenderedPageBreak/>
        <w:drawing>
          <wp:inline distT="0" distB="0" distL="0" distR="0">
            <wp:extent cx="5396230" cy="1502410"/>
            <wp:effectExtent l="12700" t="12700" r="139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502410"/>
                    </a:xfrm>
                    <a:prstGeom prst="rect">
                      <a:avLst/>
                    </a:prstGeom>
                    <a:noFill/>
                    <a:ln w="9525" cmpd="sng">
                      <a:solidFill>
                        <a:srgbClr val="000000"/>
                      </a:solidFill>
                      <a:miter lim="800000"/>
                      <a:headEnd/>
                      <a:tailEnd/>
                    </a:ln>
                    <a:effectLst/>
                  </pic:spPr>
                </pic:pic>
              </a:graphicData>
            </a:graphic>
          </wp:inline>
        </w:drawing>
      </w:r>
    </w:p>
    <w:p w:rsidR="008E15C6" w:rsidRDefault="008E15C6" w:rsidP="008E15C6">
      <w:pPr>
        <w:jc w:val="left"/>
        <w:rPr>
          <w:rFonts w:eastAsiaTheme="majorEastAsia"/>
          <w:color w:val="000000" w:themeColor="text1"/>
          <w:szCs w:val="28"/>
        </w:rPr>
      </w:pPr>
    </w:p>
    <w:p w:rsidR="008E15C6" w:rsidRDefault="008E15C6" w:rsidP="008E15C6">
      <w:pPr>
        <w:jc w:val="left"/>
        <w:rPr>
          <w:rFonts w:eastAsiaTheme="majorEastAsia"/>
          <w:color w:val="000000" w:themeColor="text1"/>
          <w:sz w:val="24"/>
          <w:szCs w:val="28"/>
        </w:rPr>
      </w:pPr>
    </w:p>
    <w:p w:rsidR="00942323" w:rsidRDefault="00942323"/>
    <w:sectPr w:rsidR="00942323" w:rsidSect="002044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C6"/>
    <w:rsid w:val="002044CB"/>
    <w:rsid w:val="008E15C6"/>
    <w:rsid w:val="00942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40B59AD"/>
  <w15:chartTrackingRefBased/>
  <w15:docId w15:val="{FB6D8C37-B876-9E42-A2FB-BDA3675D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C6"/>
    <w:pPr>
      <w:spacing w:after="160" w:line="256" w:lineRule="auto"/>
      <w:jc w:val="both"/>
    </w:pPr>
    <w:rPr>
      <w:rFonts w:ascii="Arial" w:hAnsi="Arial" w:cs="Arial"/>
      <w:sz w:val="22"/>
      <w:szCs w:val="22"/>
    </w:rPr>
  </w:style>
  <w:style w:type="paragraph" w:styleId="Ttulo1">
    <w:name w:val="heading 1"/>
    <w:basedOn w:val="Normal"/>
    <w:next w:val="Normal"/>
    <w:link w:val="Ttulo1Car"/>
    <w:uiPriority w:val="9"/>
    <w:qFormat/>
    <w:rsid w:val="008E1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semiHidden/>
    <w:unhideWhenUsed/>
    <w:qFormat/>
    <w:rsid w:val="008E15C6"/>
    <w:pPr>
      <w:spacing w:after="120"/>
      <w:outlineLvl w:val="1"/>
    </w:pPr>
    <w:rPr>
      <w:rFonts w:ascii="Arial" w:hAnsi="Arial" w:cs="Arial"/>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E15C6"/>
    <w:rPr>
      <w:rFonts w:ascii="Arial" w:eastAsiaTheme="majorEastAsia" w:hAnsi="Arial" w:cs="Arial"/>
      <w:b/>
      <w:color w:val="000000" w:themeColor="text1"/>
    </w:rPr>
  </w:style>
  <w:style w:type="table" w:styleId="Tablaconcuadrcula">
    <w:name w:val="Table Grid"/>
    <w:basedOn w:val="Tablanormal"/>
    <w:uiPriority w:val="39"/>
    <w:rsid w:val="008E15C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15C6"/>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E15C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E15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2844</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Moracho Julia</dc:creator>
  <cp:keywords/>
  <dc:description/>
  <cp:lastModifiedBy>Martín Moracho Julia</cp:lastModifiedBy>
  <cp:revision>1</cp:revision>
  <dcterms:created xsi:type="dcterms:W3CDTF">2019-05-06T18:58:00Z</dcterms:created>
  <dcterms:modified xsi:type="dcterms:W3CDTF">2019-05-06T18:59:00Z</dcterms:modified>
</cp:coreProperties>
</file>