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22.png" ContentType="image/png"/>
  <Override PartName="/word/media/rId25.png" ContentType="image/png"/>
  <Override PartName="/word/media/rId30.png" ContentType="image/png"/>
  <Override PartName="/word/media/rId32.png" ContentType="image/png"/>
  <Override PartName="/word/media/rId31.png" ContentType="image/png"/>
  <Override PartName="/word/media/rId29.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13.01.2022</w:t>
      </w:r>
    </w:p>
    <w:bookmarkStart w:id="20" w:name="participants"/>
    <w:p>
      <w:pPr>
        <w:pStyle w:val="Heading2"/>
      </w:pPr>
      <w:r>
        <w:t xml:space="preserve">Participants</w:t>
      </w:r>
    </w:p>
    <w:p>
      <w:pPr>
        <w:pStyle w:val="FirstParagraph"/>
      </w:pPr>
      <w:r>
        <w:t xml:space="preserve">We collected data from a total of 639 participants. After inspecting the rating behaviour for anomnalities,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 were mainly highly educated, with a 48.6% having an university or college degree (bachelor, master, or PhD), and 94.7% having a school degree of A-levels (</w:t>
      </w:r>
      <w:r>
        <w:t xml:space="preserve">“</w:t>
      </w:r>
      <w:r>
        <w:t xml:space="preserve">Abitur</w:t>
      </w:r>
      <w:r>
        <w:t xml:space="preserve">”</w:t>
      </w:r>
      <w:r>
        <w:t xml:space="preserve">), with 56.6% of the sample being students. This rather homogeneous group prohibited deeper analyses with respect to education.</w:t>
      </w:r>
    </w:p>
    <w:bookmarkEnd w:id="20"/>
    <w:bookmarkStart w:id="21" w:name="contruction-of-a-dislike-scale"/>
    <w:p>
      <w:pPr>
        <w:pStyle w:val="Heading2"/>
      </w:pPr>
      <w:r>
        <w:t xml:space="preserve">Contruction of a Dislike Scale</w:t>
      </w:r>
    </w:p>
    <w:p>
      <w:pPr>
        <w:pStyle w:val="FirstParagraph"/>
      </w:pPr>
      <w:r>
        <w:t xml:space="preserve">In order to reduce the number of variables and thus the complexity of the analysis, we first applied an exploratory factor analysis to the rating scales, across all four conditions. The resulted in an oblique factor solution with eight factors (explaining a total of 53% of variance, see Supplementary Material). After inspecting this factor solution, it became clear that the factors did not neatly represent distinct psychological constructs (or judgment strategies), but that different constructs had been merge in 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 a full correlation matrix of all single items, can be found in the Supplementary Material).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subscales can be grouped into</w:t>
      </w:r>
      <w:r>
        <w:t xml:space="preserve"> </w:t>
      </w:r>
      <w:r>
        <w:t xml:space="preserve">“</w:t>
      </w:r>
      <w:r>
        <w:t xml:space="preserve">descriptions</w:t>
      </w:r>
      <w:r>
        <w:t xml:space="preserve">”</w:t>
      </w:r>
      <w:r>
        <w:t xml:space="preserve"> </w:t>
      </w:r>
      <w:r>
        <w:t xml:space="preserve">and</w:t>
      </w:r>
      <w:r>
        <w:t xml:space="preserve"> </w:t>
      </w:r>
      <w:r>
        <w:t xml:space="preserve">“</w:t>
      </w:r>
      <w:r>
        <w:t xml:space="preserve">consequences</w:t>
      </w:r>
      <w:r>
        <w:t xml:space="preserve">”</w:t>
      </w:r>
      <w:r>
        <w:t xml:space="preserve">. The latter group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 reasons to dislike music. This also implies that people expect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w:t>
      </w:r>
    </w:p>
    <w:p>
      <w:pPr>
        <w:pStyle w:val="BodyText"/>
      </w:pPr>
      <w:r>
        <w:t xml:space="preserve">The descriptive subscales can be further divided into descriptors of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of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1"/>
    <w:bookmarkStart w:id="24" w:name="correlation-and-causal-analysis"/>
    <w:p>
      <w:pPr>
        <w:pStyle w:val="Heading2"/>
      </w:pPr>
      <w:r>
        <w:t xml:space="preserve">Correlation and causal analysis</w:t>
      </w:r>
    </w:p>
    <w:p>
      <w:pPr>
        <w:pStyle w:val="FirstParagraph"/>
      </w:pPr>
      <w:r>
        <w:t xml:space="preserve">The scale distributions and correlations across all conditions can be seen in the panel plot in Fig. 1 (see Supplementary Material for panel plots for all four conditions). All scales differ viusally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distibrution,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subscales differ significantly between the four main conditions (Jennrich’s test for correlation matrices:</w:t>
      </w:r>
      <w:r>
        <w:t xml:space="preserve"> </w:t>
      </w:r>
      <w:r>
        <w:rPr>
          <w:i/>
        </w:rPr>
        <w:t xml:space="preserve">p &lt; .001</w:t>
      </w:r>
      <w:r>
        <w:t xml:space="preserve"> </w:t>
      </w:r>
      <w:r>
        <w:t xml:space="preserve">for all condition pairs). The distributions are partly also different, but the general observations from above still hold up (see Supplementary Material).</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
        </w:rPr>
        <w:t xml:space="preserve">.002</w:t>
      </w:r>
      <w:r>
        <w:t xml:space="preserve">, because there was one adjusted p-value of</w:t>
      </w:r>
      <w:r>
        <w:t xml:space="preserve"> </w:t>
      </w:r>
      <w:r>
        <w:rPr>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p>
      <w:pPr>
        <w:pStyle w:val="BodyText"/>
      </w:pPr>
      <w:r>
        <w:t xml:space="preserve">Because of the specific semantic structure, some cautious and preliminary causal statements can be derived from these stable correlations. The reason is that consequences of music cannot cause 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descriptive and reactive variables. Node color further classified the nodes into interpretations. Arrows indicate causal influence, if the arrows goes both ways between nodes, no causal idenfication is available. Distances between nodes roughly represent mean correlation between variables. There is a cluster of three (or four) subscales,</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 and, possibly, also</w:t>
      </w:r>
      <w:r>
        <w:t xml:space="preserve"> </w:t>
      </w:r>
      <w:r>
        <w:rPr>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
        </w:rPr>
        <w:t xml:space="preserve">Socal Incongruence</w:t>
      </w:r>
      <w:r>
        <w:t xml:space="preserve"> </w:t>
      </w:r>
      <w:r>
        <w:t xml:space="preserve">to the audience of the disliked music. In our data set, this is a very common attitude towards</w:t>
      </w:r>
      <w:r>
        <w:t xml:space="preserve"> </w:t>
      </w:r>
      <w:r>
        <w:rPr>
          <w:i/>
        </w:rPr>
        <w:t xml:space="preserve">Schlager</w:t>
      </w:r>
      <w:r>
        <w:t xml:space="preserve"> </w:t>
      </w:r>
      <w:r>
        <w:t xml:space="preserve">and</w:t>
      </w:r>
      <w:r>
        <w:t xml:space="preserve"> </w:t>
      </w:r>
      <w:r>
        <w:rPr>
          <w:i/>
        </w:rPr>
        <w:t xml:space="preserve">Traditional</w:t>
      </w:r>
      <w:r>
        <w:t xml:space="preserve"> </w:t>
      </w:r>
      <w:r>
        <w:t xml:space="preserve">music, which are the top disliked styles. On the other side, there is another reasoning complex, consisting of</w:t>
      </w:r>
      <w:r>
        <w:t xml:space="preserve"> </w:t>
      </w:r>
      <w:r>
        <w:rPr>
          <w:b/>
        </w:rPr>
        <w:t xml:space="preserve">Too Niche</w:t>
      </w:r>
      <w:r>
        <w:t xml:space="preserve"> </w:t>
      </w:r>
      <w:r>
        <w:t xml:space="preserve">and</w:t>
      </w:r>
      <w:r>
        <w:t xml:space="preserve"> </w:t>
      </w:r>
      <w:r>
        <w:rPr>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
        </w:rPr>
        <w:t xml:space="preserve">Too Niche</w:t>
      </w:r>
      <w:r>
        <w:t xml:space="preserve"> </w:t>
      </w:r>
      <w:r>
        <w:t xml:space="preserve">leads to</w:t>
      </w:r>
      <w:r>
        <w:t xml:space="preserve"> </w:t>
      </w:r>
      <w:r>
        <w:rPr>
          <w:b/>
        </w:rPr>
        <w:t xml:space="preserve">Displeasure</w:t>
      </w:r>
      <w:r>
        <w:t xml:space="preserve">, while</w:t>
      </w:r>
      <w:r>
        <w:t xml:space="preserve"> </w:t>
      </w:r>
      <w:r>
        <w:rPr>
          <w:b/>
        </w:rPr>
        <w:t xml:space="preserve">Too Complex</w:t>
      </w:r>
      <w:r>
        <w:t xml:space="preserve"> </w:t>
      </w:r>
      <w:r>
        <w:t xml:space="preserve">is linked to</w:t>
      </w:r>
      <w:r>
        <w:t xml:space="preserve"> </w:t>
      </w:r>
      <w:r>
        <w:rPr>
          <w:b/>
        </w:rPr>
        <w:t xml:space="preserve">Too Emotional</w:t>
      </w:r>
      <w:r>
        <w:t xml:space="preserve">. (The latter correlation is somewhat puzzling, but seems to be genuine and not an artefact of the extremely left-skewed distributions of the two variables.)</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w:t>
      </w:r>
      <w:r>
        <w:t xml:space="preserve"> </w:t>
      </w:r>
      <w:r>
        <w:t xml:space="preserve">4 of the 5 correlation matrices. There are five such correlations, neither of which did not appear in the full correlation matrix. The correlation</w:t>
      </w:r>
      <w:r>
        <w:t xml:space="preserve"> </w:t>
      </w:r>
      <w:r>
        <w:rPr>
          <w:b/>
        </w:rPr>
        <w:t xml:space="preserve">Too Niche</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.35</w:t>
      </w:r>
      <w:r>
        <w:t xml:space="preserve">),</w:t>
      </w:r>
      <w:r>
        <w:t xml:space="preserve"> </w:t>
      </w:r>
      <w:r>
        <w:rPr>
          <w:b/>
        </w:rPr>
        <w:t xml:space="preserve">Too Niche</w:t>
      </w:r>
      <w:r>
        <w:t xml:space="preserve"> </w:t>
      </w:r>
      <w:r>
        <w:t xml:space="preserve">-</w:t>
      </w:r>
      <w:r>
        <w:t xml:space="preserve"> </w:t>
      </w:r>
      <w:r>
        <w:rPr>
          <w:b/>
        </w:rPr>
        <w:t xml:space="preserve">No Impact</w:t>
      </w:r>
      <w:r>
        <w:t xml:space="preserve"> </w:t>
      </w:r>
      <w:r>
        <w:t xml:space="preserve">(mean</w:t>
      </w:r>
      <w:r>
        <w:t xml:space="preserve"> </w:t>
      </w:r>
      <w:r>
        <w:rPr>
          <w:i/>
        </w:rPr>
        <w:t xml:space="preserve">r = .346</w:t>
      </w:r>
      <w:r>
        <w:t xml:space="preserve">),</w:t>
      </w:r>
      <w:r>
        <w:t xml:space="preserve"> </w:t>
      </w:r>
      <w:r>
        <w:rPr>
          <w:b/>
        </w:rPr>
        <w:t xml:space="preserve">Too Mainstream</w:t>
      </w:r>
      <w:r>
        <w:t xml:space="preserve"> </w:t>
      </w:r>
      <w:r>
        <w:t xml:space="preserve">-</w:t>
      </w:r>
      <w:r>
        <w:t xml:space="preserve"> </w:t>
      </w:r>
      <w:r>
        <w:rPr>
          <w:b/>
        </w:rPr>
        <w:t xml:space="preserve">No Impact</w:t>
      </w:r>
      <w:r>
        <w:t xml:space="preserve"> </w:t>
      </w:r>
      <w:r>
        <w:t xml:space="preserve">(mean</w:t>
      </w:r>
      <w:r>
        <w:t xml:space="preserve"> </w:t>
      </w:r>
      <w:r>
        <w:rPr>
          <w:i/>
        </w:rPr>
        <w:t xml:space="preserve">r = .294</w:t>
      </w:r>
      <w:r>
        <w:t xml:space="preserve">) did not show up in the Style/Strong condition. The correlation</w:t>
      </w:r>
      <w:r>
        <w:t xml:space="preserve"> </w:t>
      </w:r>
      <w:r>
        <w:rPr>
          <w:b/>
        </w:rPr>
        <w:t xml:space="preserve">Too Emotional</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.268</w:t>
      </w:r>
      <w:r>
        <w:t xml:space="preserve">) was not present in the Artist/String conditions, whereas</w:t>
      </w:r>
      <w:r>
        <w:t xml:space="preserve"> </w:t>
      </w:r>
      <w:r>
        <w:rPr>
          <w:b/>
        </w:rPr>
        <w:t xml:space="preserve">Social Incongruence</w:t>
      </w:r>
      <w:r>
        <w:t xml:space="preserve"> </w:t>
      </w:r>
      <w:r>
        <w:t xml:space="preserve">-</w:t>
      </w:r>
      <w:r>
        <w:t xml:space="preserve"> </w:t>
      </w:r>
      <w:r>
        <w:rPr>
          <w:b/>
        </w:rPr>
        <w:t xml:space="preserve">No Impact</w:t>
      </w:r>
      <w:r>
        <w:t xml:space="preserve"> </w:t>
      </w:r>
      <w:r>
        <w:t xml:space="preserve">(mean</w:t>
      </w:r>
      <w:r>
        <w:t xml:space="preserve"> </w:t>
      </w:r>
      <w:r>
        <w:rPr>
          <w:i/>
        </w:rPr>
        <w:t xml:space="preserve">r = .375</w:t>
      </w:r>
      <w:r>
        <w:t xml:space="preserve">) did not make it into the Artist/Slight condition (</w:t>
      </w:r>
      <w:r>
        <w:rPr>
          <w:i/>
        </w:rPr>
        <w:t xml:space="preserve">KF: Interpretation anyone?</w:t>
      </w:r>
      <w:r>
        <w:t xml:space="preserve">).</w:t>
      </w:r>
    </w:p>
    <w:bookmarkEnd w:id="24"/>
    <w:bookmarkStart w:id="26" w:name="latent-profile-analysis"/>
    <w:p>
      <w:pPr>
        <w:pStyle w:val="Heading2"/>
      </w:pPr>
      <w:r>
        <w:t xml:space="preserve">Latent Profile Analysis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The observation of two principal strategies, dubbed</w:t>
      </w:r>
      <w:r>
        <w:t xml:space="preserve"> </w:t>
      </w:r>
      <w:r>
        <w:t xml:space="preserve">“</w:t>
      </w:r>
      <w:r>
        <w:t xml:space="preserve">Highbrow</w:t>
      </w:r>
      <w:r>
        <w:t xml:space="preserve">”</w:t>
      </w:r>
      <w:r>
        <w:t xml:space="preserve"> </w:t>
      </w:r>
      <w:r>
        <w:t xml:space="preserve">and</w:t>
      </w:r>
      <w:r>
        <w:t xml:space="preserve"> </w:t>
      </w:r>
      <w:r>
        <w:t xml:space="preserve">“</w:t>
      </w:r>
      <w:r>
        <w:t xml:space="preserve">Lowbrow</w:t>
      </w:r>
      <w:r>
        <w:t xml:space="preserve">”</w:t>
      </w:r>
      <w:r>
        <w:t xml:space="preserve">, which is pretty much in line with results from previous research on musical taste, led as to look for latent profiles in the rating behaviours.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 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BodyText"/>
      </w:pPr>
      <w:r>
        <w:t xml:space="preserve">The</w:t>
      </w:r>
      <w:r>
        <w:t xml:space="preserve"> </w:t>
      </w:r>
      <w:r>
        <w:rPr>
          <w:b/>
        </w:rPr>
        <w:t xml:space="preserve">Highbrow</w:t>
      </w:r>
      <w:r>
        <w:t xml:space="preserve"> </w:t>
      </w:r>
      <w:r>
        <w:t xml:space="preserve">profile is generally more frequent, they account for about 60-70% in the four conditions. Interestingly, not all participant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all not profiles are present, and the mixed class is applied to participant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6"/>
    <w:bookmarkStart w:id="28"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a list with 15 suggestions. In the two Artist conditions, participants were also asked to provide a style descriptor for the chosen artist, even though sometimes there were not able to do so (42 out of 837). The distribution of styles is rather inbalanced,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Pop</w:t>
      </w:r>
      <w:r>
        <w:t xml:space="preserve"> </w:t>
      </w:r>
      <w:r>
        <w:t xml:space="preserve">and</w:t>
      </w:r>
      <w:r>
        <w:t xml:space="preserve"> </w:t>
      </w:r>
      <w:r>
        <w:rPr>
          <w:i/>
        </w:rPr>
        <w:t xml:space="preserve">Rock</w:t>
      </w:r>
      <w:r>
        <w:t xml:space="preserve"> </w:t>
      </w:r>
      <w:r>
        <w:t xml:space="preserve">artists than in the Style condition, whereas</w:t>
      </w:r>
      <w:r>
        <w:t xml:space="preserve"> </w:t>
      </w:r>
      <w:r>
        <w:rPr>
          <w:i/>
        </w:rPr>
        <w:t xml:space="preserve">Schlager</w:t>
      </w:r>
      <w:r>
        <w:t xml:space="preserve">,</w:t>
      </w:r>
      <w:r>
        <w:t xml:space="preserve"> </w:t>
      </w:r>
      <w:r>
        <w:rPr>
          <w:i/>
        </w:rPr>
        <w:t xml:space="preserve">HipHop</w:t>
      </w:r>
      <w:r>
        <w:t xml:space="preserve">, and</w:t>
      </w:r>
      <w:r>
        <w:t xml:space="preserve"> </w:t>
      </w:r>
      <w:r>
        <w:rPr>
          <w:i/>
        </w:rPr>
        <w:t xml:space="preserve">Classical</w:t>
      </w:r>
      <w:r>
        <w:t xml:space="preserve"> </w:t>
      </w:r>
      <w:r>
        <w:t xml:space="preserve">were about equally often selected, and all other styles appeared more frequently selected in the Style conditions. This can be explained by the fact, that</w:t>
      </w:r>
      <w:r>
        <w:t xml:space="preserve"> </w:t>
      </w:r>
      <w:r>
        <w:rPr>
          <w:i/>
        </w:rPr>
        <w:t xml:space="preserve">Pop</w:t>
      </w:r>
      <w:r>
        <w:t xml:space="preserve"> </w:t>
      </w:r>
      <w:r>
        <w:t xml:space="preserve">and</w:t>
      </w:r>
      <w:r>
        <w:t xml:space="preserve"> </w:t>
      </w:r>
      <w:r>
        <w:rPr>
          <w:i/>
        </w:rPr>
        <w:t xml:space="preserve">Rock</w:t>
      </w:r>
      <w:r>
        <w:t xml:space="preserve"> </w:t>
      </w:r>
      <w:r>
        <w:t xml:space="preserve">are very broad and prominent styles that are rarely disliked in its entirety, but single artists from these styles can easily draw very negative judgments. It also more likely that people actually know artists from these styles due to their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
        </w:rPr>
        <w:t xml:space="preserve">Techno</w:t>
      </w:r>
      <w:r>
        <w:t xml:space="preserve">.</w:t>
      </w:r>
    </w:p>
    <w:p>
      <w:pPr>
        <w:pStyle w:val="BodyText"/>
      </w:pPr>
      <w:r>
        <w:t xml:space="preserve">Comparing the subconditions, one finds that</w:t>
      </w:r>
      <w:r>
        <w:t xml:space="preserve"> </w:t>
      </w:r>
      <w:r>
        <w:rPr>
          <w:i/>
        </w:rPr>
        <w:t xml:space="preserve">Schlager</w:t>
      </w:r>
      <w:r>
        <w:t xml:space="preserve">,</w:t>
      </w:r>
      <w:r>
        <w:t xml:space="preserve"> </w:t>
      </w:r>
      <w:r>
        <w:rPr>
          <w:i/>
        </w:rPr>
        <w:t xml:space="preserve">Traditional</w:t>
      </w:r>
      <w:r>
        <w:t xml:space="preserve">, and</w:t>
      </w:r>
      <w:r>
        <w:t xml:space="preserve"> </w:t>
      </w:r>
      <w:r>
        <w:rPr>
          <w:i/>
        </w:rPr>
        <w:t xml:space="preserve">Metal</w:t>
      </w:r>
      <w:r>
        <w:t xml:space="preserve"> </w:t>
      </w:r>
      <w:r>
        <w:t xml:space="preserve">are always more frequent in the Strong category than in the Slight category. Techno is slightly more often mentioned in the Strong subcondition of the Style condition, but about equally often in both Artist conditions. All other styles tend to occur more often in the Slight than in the Strong subconditions. This is particularly true for</w:t>
      </w:r>
      <w:r>
        <w:t xml:space="preserve"> </w:t>
      </w:r>
      <w:r>
        <w:rPr>
          <w:b/>
        </w:rPr>
        <w:t xml:space="preserve">Pop</w:t>
      </w:r>
      <w:r>
        <w:t xml:space="preserve"> </w:t>
      </w:r>
      <w:r>
        <w:t xml:space="preserve">in the Artist/Slight condition. All in all, the contrast in style distribution between the subconditions are less clear than in the comparison of Artist and Style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(Style/Strong)</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Style diversity was rather high, 48.8% selected all different styles in all conditions (or only took part in one condition), whereas nobody mentioned only one style (but note, that participant had to chose two different styles in the Style condition.)</w:t>
      </w:r>
    </w:p>
    <w:p>
      <w:pPr>
        <w:pStyle w:val="BodyText"/>
      </w:pPr>
      <w:r>
        <w:t xml:space="preserve">To check whether the style distibributions were different in the different conditions and degrees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for the Strong/Slight subconditions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w:t>
      </w:r>
    </w:p>
    <w:p>
      <w:pPr>
        <w:pStyle w:val="CaptionedFigure"/>
      </w:pPr>
      <w:r>
        <w:drawing>
          <wp:inline>
            <wp:extent cx="5334000" cy="3556000"/>
            <wp:effectExtent b="0" l="0" r="0" t="0"/>
            <wp:docPr descr="Fig. 4. Chi-Squared residuals of styles across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4. Chi-Squared residuals of styles across the four conditions.</w:t>
      </w:r>
    </w:p>
    <w:bookmarkEnd w:id="28"/>
    <w:bookmarkStart w:id="33" w:name="Xb0c3b612d1d5b459f1e889aa6f06de534410171"/>
    <w:p>
      <w:pPr>
        <w:pStyle w:val="Heading2"/>
      </w:pPr>
      <w:r>
        <w:t xml:space="preserve">Rating differences between styles by condition</w:t>
      </w:r>
    </w:p>
    <w:p>
      <w:pPr>
        <w:pStyle w:val="FirstParagraph"/>
      </w:pPr>
      <w:r>
        <w:t xml:space="preserve">Besides the clearly different distributions of styles in all conditions, we were also interested in difference in ratings in the Artist/Style main conditions and the Slight/Strong subconditions. As the distribution of styles was rather different in the Style vs. Artist main conditions (cf. Tab. 4), we treated both cases separately and stratified also for styles. Furthermore, as the style distributions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the Artist/Style main conditions or the Strong/Slight sub conditions on all subscales while using Holm adjustment of p-values to account for multiple testing.</w:t>
      </w:r>
    </w:p>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p>
      <w:pPr>
        <w:pStyle w:val="BodyText"/>
      </w:pPr>
      <w:r>
        <w:t xml:space="preserve">The results for comparing the sub conditions, can be found in Tab. 7, where only significant differences at the 5% level (adjusted) are shown (in the Artist condition the cases with no assigned style are omitted, for a complete table please refer to the Supplementary Material). Both omnibus tests yielded highly significant differences (</w:t>
      </w:r>
      <w:r>
        <w:rPr>
          <w:i/>
        </w:rPr>
        <w:t xml:space="preserve">p &lt; .001</w:t>
      </w:r>
      <w:r>
        <w:t xml:space="preserve">). A graphical display of mean values and 95% confidence intervals can be seen in Fig. 6 and 7.</w:t>
      </w:r>
    </w:p>
    <w:p>
      <w:pPr>
        <w:pStyle w:val="BodyText"/>
      </w:pPr>
      <w:r>
        <w:t xml:space="preserve">The main differences are, expectedly, to be found on the subscale</w:t>
      </w:r>
      <w:r>
        <w:t xml:space="preserve"> </w:t>
      </w:r>
      <w:r>
        <w:rPr>
          <w:b/>
        </w:rPr>
        <w:t xml:space="preserve">Displeasure</w:t>
      </w:r>
      <w:r>
        <w:t xml:space="preserve">, where values in the Strong subcondition are higher than in the Slight subcondition,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the two main and two subconditions lie mostly in the selection of styles as well as in the higher</w:t>
      </w:r>
      <w:r>
        <w:t xml:space="preserve"> </w:t>
      </w:r>
      <w:r>
        <w:rPr>
          <w:b/>
        </w:rPr>
        <w:t xml:space="preserve">Displeasure</w:t>
      </w:r>
      <w:r>
        <w:t xml:space="preserve"> </w:t>
      </w:r>
      <w:r>
        <w:t xml:space="preserve">ratings in the Strong vs. the Slight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(adjusted)</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Both omnibus tests for comparing the main conditions across the same subcondition, resulted in highly significant differences (</w:t>
      </w:r>
      <w:r>
        <w:rPr>
          <w:i/>
        </w:rPr>
        <w:t xml:space="preserve">p &lt; .001</w:t>
      </w:r>
      <w:r>
        <w:t xml:space="preserve">), but no Kruskal-Walis test survived correction for multiple testing. This is corroborated by the mean value plots in Fig. 8 and 9, which show either similar values throughout for more frequent styles or wide and overlapping confidence Intervals for the less frequent styles.</w:t>
      </w:r>
    </w:p>
    <w:p>
      <w:pPr>
        <w:pStyle w:val="CaptionedFigure"/>
      </w:pPr>
      <w:r>
        <w:drawing>
          <wp:inline>
            <wp:extent cx="5334000" cy="3556000"/>
            <wp:effectExtent b="0" l="0" r="0" t="0"/>
            <wp:docPr descr="Fig. 8. Mean value of style ratings in the Strong sub conditions for the Artist/Style main conditions. Error bars are 95% CI, dot size is proportional to total count of style." title="" id="1" name="Picture"/>
            <a:graphic>
              <a:graphicData uri="http://schemas.openxmlformats.org/drawingml/2006/picture">
                <pic:pic>
                  <pic:nvPicPr>
                    <pic:cNvPr descr="dislikes_report_files/figure-docx/mean_value_plot_strong-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8. Mean value of style ratings in the Strong sub conditions for the Artist/Style main conditions. Error bars are 95% CI, dot size is proportional to total count of style.</w:t>
      </w:r>
    </w:p>
    <w:p>
      <w:pPr>
        <w:pStyle w:val="CaptionedFigure"/>
      </w:pPr>
      <w:r>
        <w:drawing>
          <wp:inline>
            <wp:extent cx="5334000" cy="3556000"/>
            <wp:effectExtent b="0" l="0" r="0" t="0"/>
            <wp:docPr descr="Fig. 9. Mean value of style ratings in the Slight sub conditions for the Artist/Style main conditions. Error bars are 95% CI, dot size is proportional to total count of style." title="" id="1" name="Picture"/>
            <a:graphic>
              <a:graphicData uri="http://schemas.openxmlformats.org/drawingml/2006/picture">
                <pic:pic>
                  <pic:nvPicPr>
                    <pic:cNvPr descr="dislikes_report_files/figure-docx/mean_value_plot_slight-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9. Mean value of style ratings in the Slight sub conditions for the Artist/Style main conditions. Error bars are 95% CI, dot size is proportional to total count of style.</w:t>
      </w:r>
    </w:p>
    <w:bookmarkEnd w:id="33"/>
    <w:bookmarkStart w:id="36" w:name="Xa629a0a0baf64ba10a141e3d643cc6690bf1dec"/>
    <w:p>
      <w:pPr>
        <w:pStyle w:val="Heading2"/>
      </w:pPr>
      <w:r>
        <w:t xml:space="preserve">Aggreement in style ratings across conditions</w:t>
      </w:r>
    </w:p>
    <w:p>
      <w:pPr>
        <w:pStyle w:val="FirstParagraph"/>
      </w:pPr>
      <w:r>
        <w:t xml:space="preserve">We were also interested, how consisten the participants judged the different styles in the different conditions on the</w:t>
      </w:r>
      <w:r>
        <w:t xml:space="preserve"> </w:t>
      </w:r>
      <w:r>
        <w:t xml:space="preserve">nine Dislike subscales. To this end, we binarized the Dislike subscales, by cutting along the midpoint of the scale, i.e. for values above 3 we intepreted the subscale as an attribute that applies, otherwise as an attribute that not applies. We then looked a the distribution of the attributes and generated a overall judgment by a majority vote. If, however, the votes for this attribute (per style and conditions) was no significantly different according to a chi-squared test with signinifican level of 1%, we assigned a</w:t>
      </w:r>
      <w:r>
        <w:t xml:space="preserve"> </w:t>
      </w:r>
      <w:r>
        <w:t xml:space="preserve">“</w:t>
      </w:r>
      <w:r>
        <w:t xml:space="preserve">mixed</w:t>
      </w:r>
      <w:r>
        <w:t xml:space="preserve">”</w:t>
      </w:r>
      <w:r>
        <w:t xml:space="preserve"> </w:t>
      </w:r>
      <w:r>
        <w:t xml:space="preserve">vote. We then checked for every combination of style and attribute whether it was applied in all four conditions. The results can be found in Fig. X.</w:t>
      </w:r>
    </w:p>
    <w:p>
      <w:pPr>
        <w:pStyle w:val="CaptionedFigure"/>
      </w:pPr>
      <w:r>
        <w:drawing>
          <wp:inline>
            <wp:extent cx="5334000" cy="3556000"/>
            <wp:effectExtent b="0" l="0" r="0" t="0"/>
            <wp:docPr descr="Fig. y, Agreement for the four conditions of styles attributes judgments." title="" id="1" name="Picture"/>
            <a:graphic>
              <a:graphicData uri="http://schemas.openxmlformats.org/drawingml/2006/picture">
                <pic:pic>
                  <pic:nvPicPr>
                    <pic:cNvPr descr="dislikes_report_files/figure-docx/binary_judgement-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Agreement for the four conditions of styles attributes judgments.</w:t>
      </w:r>
    </w:p>
    <w:p>
      <w:pPr>
        <w:pStyle w:val="BodyText"/>
      </w:pPr>
      <w:r>
        <w:t xml:space="preserve">This clearly shows that judgmente of the style in the four conditions was mostly not congruent (white squares), only</w:t>
      </w:r>
      <w:r>
        <w:t xml:space="preserve"> </w:t>
      </w:r>
      <w:r>
        <w:rPr>
          <w:i/>
        </w:rPr>
        <w:t xml:space="preserve">Traditional</w:t>
      </w:r>
      <w:r>
        <w:t xml:space="preserve">,</w:t>
      </w:r>
      <w:r>
        <w:t xml:space="preserve"> </w:t>
      </w:r>
      <w:r>
        <w:rPr>
          <w:i/>
        </w:rPr>
        <w:t xml:space="preserve">Techno</w:t>
      </w:r>
      <w:r>
        <w:t xml:space="preserve">,</w:t>
      </w:r>
      <w:r>
        <w:t xml:space="preserve"> </w:t>
      </w:r>
      <w:r>
        <w:rPr>
          <w:i/>
        </w:rPr>
        <w:t xml:space="preserve">Schlager</w:t>
      </w:r>
      <w:r>
        <w:t xml:space="preserve"> </w:t>
      </w:r>
      <w:r>
        <w:t xml:space="preserve">and</w:t>
      </w:r>
      <w:r>
        <w:t xml:space="preserve"> </w:t>
      </w:r>
      <w:r>
        <w:rPr>
          <w:i/>
        </w:rPr>
        <w:t xml:space="preserve">Pop</w:t>
      </w:r>
      <w:r>
        <w:t xml:space="preserve"> </w:t>
      </w:r>
      <w:r>
        <w:t xml:space="preserve">were consistently judged as</w:t>
      </w:r>
      <w:r>
        <w:t xml:space="preserve"> </w:t>
      </w:r>
      <w:r>
        <w:rPr>
          <w:b/>
        </w:rPr>
        <w:t xml:space="preserve">Too Simple</w:t>
      </w:r>
      <w:r>
        <w:t xml:space="preserve">. Like</w:t>
      </w:r>
      <w:r>
        <w:t xml:space="preserve"> </w:t>
      </w:r>
      <w:r>
        <w:rPr>
          <w:i/>
        </w:rPr>
        <w:t xml:space="preserve">Schlager</w:t>
      </w:r>
      <w:r>
        <w:t xml:space="preserve"> </w:t>
      </w:r>
      <w:r>
        <w:t xml:space="preserve">and</w:t>
      </w:r>
      <w:r>
        <w:t xml:space="preserve"> </w:t>
      </w:r>
      <w:r>
        <w:rPr>
          <w:i/>
        </w:rPr>
        <w:t xml:space="preserve">Pop</w:t>
      </w:r>
      <w:r>
        <w:t xml:space="preserve"> </w:t>
      </w:r>
      <w:r>
        <w:t xml:space="preserve">were never attributed as</w:t>
      </w:r>
      <w:r>
        <w:t xml:space="preserve"> </w:t>
      </w:r>
      <w:r>
        <w:rPr>
          <w:b/>
        </w:rPr>
        <w:t xml:space="preserve">Too Niche</w:t>
      </w:r>
      <w:r>
        <w:t xml:space="preserve">, and</w:t>
      </w:r>
      <w:r>
        <w:t xml:space="preserve"> </w:t>
      </w:r>
      <w:r>
        <w:rPr>
          <w:i/>
        </w:rPr>
        <w:t xml:space="preserve">Metal</w:t>
      </w:r>
      <w:r>
        <w:t xml:space="preserve"> </w:t>
      </w:r>
      <w:r>
        <w:t xml:space="preserve">and</w:t>
      </w:r>
      <w:r>
        <w:t xml:space="preserve"> </w:t>
      </w:r>
      <w:r>
        <w:rPr>
          <w:i/>
        </w:rPr>
        <w:t xml:space="preserve">HipHop</w:t>
      </w:r>
      <w:r>
        <w:t xml:space="preserve"> </w:t>
      </w:r>
      <w:r>
        <w:t xml:space="preserve">were never judged as</w:t>
      </w:r>
      <w:r>
        <w:t xml:space="preserve"> </w:t>
      </w:r>
      <w:r>
        <w:rPr>
          <w:b/>
        </w:rPr>
        <w:t xml:space="preserve">Too Mainstream</w:t>
      </w:r>
      <w:r>
        <w:t xml:space="preserve">. The anyway rarely used</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were never consistently attributed to any style, only for</w:t>
      </w:r>
      <w:r>
        <w:t xml:space="preserve"> </w:t>
      </w:r>
      <w:r>
        <w:rPr>
          <w:i/>
        </w:rPr>
        <w:t xml:space="preserve">World</w:t>
      </w:r>
      <w:r>
        <w:t xml:space="preserve">, where the judgement were always mixed on both attribute, and</w:t>
      </w:r>
      <w:r>
        <w:t xml:space="preserve"> </w:t>
      </w:r>
      <w:r>
        <w:rPr>
          <w:i/>
        </w:rPr>
        <w:t xml:space="preserve">Blues</w:t>
      </w:r>
      <w:r>
        <w:t xml:space="preserve">, which always received a mixed judgment of</w:t>
      </w:r>
      <w:r>
        <w:t xml:space="preserve"> </w:t>
      </w:r>
      <w:r>
        <w:rPr>
          <w:b/>
        </w:rPr>
        <w:t xml:space="preserve">Too Emotional</w:t>
      </w:r>
      <w:r>
        <w:t xml:space="preserve">. This reflect the general consistently mixed judgement of</w:t>
      </w:r>
      <w:r>
        <w:t xml:space="preserve"> </w:t>
      </w:r>
      <w:r>
        <w:rPr>
          <w:i/>
        </w:rPr>
        <w:t xml:space="preserve">World</w:t>
      </w:r>
      <w:r>
        <w:t xml:space="preserve"> </w:t>
      </w:r>
      <w:r>
        <w:t xml:space="preserve">and and</w:t>
      </w:r>
      <w:r>
        <w:t xml:space="preserve"> </w:t>
      </w:r>
      <w:r>
        <w:rPr>
          <w:i/>
        </w:rPr>
        <w:t xml:space="preserve">Blues</w:t>
      </w:r>
      <w:r>
        <w:t xml:space="preserve">, wich also stems from the fact that these were the least frequently selected styles.</w:t>
      </w:r>
    </w:p>
    <w:p>
      <w:pPr>
        <w:pStyle w:val="CaptionedFigure"/>
      </w:pPr>
      <w:r>
        <w:drawing>
          <wp:inline>
            <wp:extent cx="5334000" cy="3556000"/>
            <wp:effectExtent b="0" l="0" r="0" t="0"/>
            <wp:docPr descr="Fig. X, Agreement across conditions of style attributes." title="" id="1" name="Picture"/>
            <a:graphic>
              <a:graphicData uri="http://schemas.openxmlformats.org/drawingml/2006/picture">
                <pic:pic>
                  <pic:nvPicPr>
                    <pic:cNvPr descr="dislikes_report_files/figure-docx/binary_judgement_agreement-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X, Agreement across conditions of style attributes.</w:t>
      </w:r>
    </w:p>
    <w:bookmarkEnd w:id="36"/>
    <w:bookmarkStart w:id="40" w:name="differences-by-covariates"/>
    <w:p>
      <w:pPr>
        <w:pStyle w:val="Heading2"/>
      </w:pPr>
      <w:r>
        <w:t xml:space="preserve">Differences by covariates</w:t>
      </w:r>
    </w:p>
    <w:p>
      <w:pPr>
        <w:pStyle w:val="FirstParagraph"/>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6.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Bonferroni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With respect to</w:t>
      </w:r>
      <w:r>
        <w:t xml:space="preserve"> </w:t>
      </w:r>
      <w:r>
        <w:rPr>
          <w:b/>
        </w:rPr>
        <w:t xml:space="preserve">Age Group</w:t>
      </w:r>
      <w:r>
        <w:t xml:space="preserve">, the younger (less than 30 years) group clearly more dislikes</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elder group more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BodyText"/>
      </w:pPr>
      <w:r>
        <w:t xml:space="preserve">Finally, 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w:t>
      </w:r>
    </w:p>
    <w:p>
      <w:pPr>
        <w:pStyle w:val="CaptionedFigure"/>
      </w:pPr>
      <w:r>
        <w:drawing>
          <wp:inline>
            <wp:extent cx="5334000" cy="3556000"/>
            <wp:effectExtent b="0" l="0" r="0" t="0"/>
            <wp:docPr descr="Fig. 5a. Chi-Squared Residuals for styles in Style/Strong conditions for Age Group" title="" id="1" name="Picture"/>
            <a:graphic>
              <a:graphicData uri="http://schemas.openxmlformats.org/drawingml/2006/picture">
                <pic:pic>
                  <pic:nvPicPr>
                    <pic:cNvPr descr="dislikes_report_files/figure-docx/chisqres_age_group-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5a. Chi-Squared Residuals for styles in Style/Strong conditions for Age Group</w:t>
      </w:r>
    </w:p>
    <w:p>
      <w:pPr>
        <w:pStyle w:val="CaptionedFigure"/>
      </w:pPr>
      <w:r>
        <w:drawing>
          <wp:inline>
            <wp:extent cx="5334000" cy="3556000"/>
            <wp:effectExtent b="0" l="0" r="0" t="0"/>
            <wp:docPr descr="Fig. 5b. Chi-Squared Residuals for styles in Style/Strong conditions for Gender" title="" id="1" name="Picture"/>
            <a:graphic>
              <a:graphicData uri="http://schemas.openxmlformats.org/drawingml/2006/picture">
                <pic:pic>
                  <pic:nvPicPr>
                    <pic:cNvPr descr="dislikes_report_files/figure-docx/chisqres_gender-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5b. Chi-Squared Residuals for styles in Style/Strong conditions for Gender</w:t>
      </w:r>
    </w:p>
    <w:p>
      <w:pPr>
        <w:pStyle w:val="CaptionedFigure"/>
      </w:pPr>
      <w:r>
        <w:drawing>
          <wp:inline>
            <wp:extent cx="5334000" cy="3556000"/>
            <wp:effectExtent b="0" l="0" r="0" t="0"/>
            <wp:docPr descr="Fig. 5c. Chi-Squared Residuals for styles in Style/Strong conditions for LPA classes" title="" id="1" name="Picture"/>
            <a:graphic>
              <a:graphicData uri="http://schemas.openxmlformats.org/drawingml/2006/picture">
                <pic:pic>
                  <pic:nvPicPr>
                    <pic:cNvPr descr="dislikes_report_files/figure-docx/chisqres_lpa_class-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5c. Chi-Squared Residuals for styles in Style/Strong conditions for LPA classes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2022-01-17T15:16:53Z</dcterms:created>
  <dcterms:modified xsi:type="dcterms:W3CDTF">2022-01-17T15:16:53Z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13.01.2022</vt:lpwstr>
  </property>
  <property fmtid="{D5CDD505-2E9C-101B-9397-08002B2CF9AE}" pid="3" name="output">
    <vt:lpwstr>word_document</vt:lpwstr>
  </property>
</Properties>
</file>