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24.png" ContentType="image/png"/>
  <Override PartName="/word/media/rId27.png" ContentType="image/png"/>
  <Override PartName="/word/media/rId31.png" ContentType="image/png"/>
  <Override PartName="/word/media/rId33.png" ContentType="image/png"/>
  <Override PartName="/word/media/rId32.png" ContentType="image/png"/>
  <Override PartName="/word/media/rId3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13.01.2022</w:t>
      </w:r>
    </w:p>
    <w:bookmarkStart w:id="42" w:name="header"/>
    <w:p>
      <w:pPr>
        <w:pStyle w:val="Heading1"/>
      </w:pPr>
      <w:r>
        <w:t xml:space="preserve">Header</w:t>
      </w:r>
    </w:p>
    <w:bookmarkStart w:id="21" w:name="header-1"/>
    <w:p>
      <w:pPr>
        <w:pStyle w:val="Heading2"/>
      </w:pPr>
      <w:r>
        <w:t xml:space="preserve">Header</w:t>
      </w:r>
    </w:p>
    <w:bookmarkStart w:id="20" w:name="header-2"/>
    <w:p>
      <w:pPr>
        <w:pStyle w:val="Heading3"/>
      </w:pPr>
      <w:r>
        <w:t xml:space="preserve">Header</w:t>
      </w:r>
    </w:p>
    <w:bookmarkEnd w:id="20"/>
    <w:bookmarkEnd w:id="21"/>
    <w:bookmarkStart w:id="22"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homogeneous group prohibited deeper analyses with respect to education.</w:t>
      </w:r>
    </w:p>
    <w:bookmarkEnd w:id="22"/>
    <w:bookmarkStart w:id="23" w:name="contruction-of-a-dislike-scale"/>
    <w:p>
      <w:pPr>
        <w:pStyle w:val="Heading2"/>
      </w:pPr>
      <w:r>
        <w:t xml:space="preserve">Contruction of a Dislike Scale</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53% of variance, see Supplementary Material).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w:t>
      </w:r>
    </w:p>
    <w:p>
      <w:pPr>
        <w:pStyle w:val="BodyText"/>
      </w:pPr>
      <w:r>
        <w:t xml:space="preserve">The descriptive subscales can be further divided into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3"/>
    <w:bookmarkStart w:id="26" w:name="correlation-and-causal-analysis"/>
    <w:p>
      <w:pPr>
        <w:pStyle w:val="Heading2"/>
      </w:pPr>
      <w:r>
        <w:t xml:space="preserve">Correlation and causal analysis</w:t>
      </w:r>
    </w:p>
    <w:p>
      <w:pPr>
        <w:pStyle w:val="FirstParagraph"/>
      </w:pPr>
      <w:r>
        <w:t xml:space="preserve">The scale distributions and correlations across all conditions can be seen in the panel plot in Fig. 1 (see Supplementary Material for panel plots for all four conditions). All scales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 up (see Supplementary Material).</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p>
      <w:pPr>
        <w:pStyle w:val="BodyText"/>
      </w:pPr>
      <w:r>
        <w:t xml:space="preserve">Because of the specific semantic structure, some cautious and preliminary causal statements can be derived from these stable correlations. The reason is that consequences of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descriptive and reactive variables. Node color further classified the nodes into interpretations. Arrows indicate causal influence, if the arrows goes both ways between nodes, no causal idenfication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Socal Incongruence</w:t>
      </w:r>
      <w:r>
        <w:t xml:space="preserve"> </w:t>
      </w:r>
      <w:r>
        <w:t xml:space="preserve">to the audience of the disliked music. In our data set, this is a very common attitude towards</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side,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is somewhat puzzling, but seems to be genuine and not an artefact of the extremely left-skewed distributions of the two variables.)</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w:t>
      </w:r>
      <w:r>
        <w:t xml:space="preserve"> </w:t>
      </w:r>
      <w:r>
        <w:t xml:space="preserve">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6"/>
    <w:bookmarkStart w:id="28" w:name="latent-profile-analysis"/>
    <w:p>
      <w:pPr>
        <w:pStyle w:val="Heading2"/>
      </w:pPr>
      <w:r>
        <w:t xml:space="preserve">Latent Profile Analysis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The observation of two principal strategies, dubbed</w:t>
      </w:r>
      <w:r>
        <w:t xml:space="preserve"> </w:t>
      </w:r>
      <w:r>
        <w:t xml:space="preserve">“</w:t>
      </w:r>
      <w:r>
        <w:t xml:space="preserve">Highbrow</w:t>
      </w:r>
      <w:r>
        <w:t xml:space="preserve">”</w:t>
      </w:r>
      <w:r>
        <w:t xml:space="preserve"> </w:t>
      </w:r>
      <w:r>
        <w:t xml:space="preserve">and</w:t>
      </w:r>
      <w:r>
        <w:t xml:space="preserve"> </w:t>
      </w:r>
      <w:r>
        <w:t xml:space="preserve">“</w:t>
      </w:r>
      <w:r>
        <w:t xml:space="preserve">Lowbrow</w:t>
      </w:r>
      <w:r>
        <w:t xml:space="preserve">”</w:t>
      </w:r>
      <w:r>
        <w:t xml:space="preserve">,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8"/>
    <w:bookmarkStart w:id="34"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there were not able to do so (42 out of 837). The distribution of styles is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subconditions,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subconditions. This is particularly true for</w:t>
      </w:r>
      <w:r>
        <w:t xml:space="preserve"> </w:t>
      </w:r>
      <w:r>
        <w:rPr>
          <w:b/>
        </w:rPr>
        <w:t xml:space="preserve">Pop</w:t>
      </w:r>
      <w:r>
        <w:t xml:space="preserve"> </w:t>
      </w:r>
      <w:r>
        <w:t xml:space="preserve">in the Artist/Slight condition. All in all, the contrast in style distribution between the subconditions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Style diversity was rather high, 48.8% selected all different styles in all conditions (or only took part in one condition), whereas nobody mentioned only one style (but note, that participant had to chose two different styles in the Style condition.)</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for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between styles by condition</w:t>
      </w:r>
    </w:p>
    <w:p>
      <w:pPr>
        <w:pStyle w:val="BodyText"/>
      </w:pPr>
      <w:r>
        <w:t xml:space="preserve">Besides the clearly different distributions of styles in all conditions, we were also interested in difference in ratings in the Artist/Style main conditions and the Slight/Strong subconditions. As the distribution of styles was rather different in the Style vs. Artist main conditions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Artist/Style main conditions or the Strong/Slight sub conditions on all subscales while using Holm adjustment of p-values to account for multiple testing.</w:t>
      </w:r>
    </w:p>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p>
      <w:pPr>
        <w:pStyle w:val="BodyText"/>
      </w:pPr>
      <w:r>
        <w:t xml:space="preserve">The results for comparing the sub conditions, can be found in Tab. 7, where only significant differences at the 5% level (adjusted) are shown (in the Artist condition the cases with no assigned style are omitted, for a complete table please refer to the Supplementary Material).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Both omnibus tests for comparing the main conditions across the same subcondition, resulted in highly significant differences (</w:t>
      </w:r>
      <w:r>
        <w:rPr>
          <w:i/>
        </w:rPr>
        <w:t xml:space="preserve">p &lt; .001</w:t>
      </w:r>
      <w:r>
        <w:t xml:space="preserve">), but no Kruskal-Walis test survived correction for multiple testing. This is corroborated by the mean value plots in Fig. 8 and 9, which show either similar values throughout for more frequent styles or wide and overlapping confidence Intervals for the less frequent styles.</w:t>
      </w:r>
    </w:p>
    <w:p>
      <w:pPr>
        <w:pStyle w:val="CaptionedFigure"/>
      </w:pPr>
      <w:r>
        <w:drawing>
          <wp:inline>
            <wp:extent cx="5334000" cy="3556000"/>
            <wp:effectExtent b="0" l="0" r="0" t="0"/>
            <wp:docPr descr="Fig. 8. Mean value of style ratings in the Strong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trong-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8. Mean value of style ratings in the Strong sub conditions for the Artist/Style main conditions. Error bars are 95% CI, dot size is proportional to total count of style.</w:t>
      </w:r>
    </w:p>
    <w:p>
      <w:pPr>
        <w:pStyle w:val="CaptionedFigure"/>
      </w:pPr>
      <w:r>
        <w:drawing>
          <wp:inline>
            <wp:extent cx="5334000" cy="3556000"/>
            <wp:effectExtent b="0" l="0" r="0" t="0"/>
            <wp:docPr descr="Fig. 9. Mean value of style ratings in the Slight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ligh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9. Mean value of style ratings in the Slight sub conditions for the Artist/Style main conditions. Error bars are 95% CI, dot size is proportional to total count of style.</w:t>
      </w:r>
    </w:p>
    <w:bookmarkEnd w:id="34"/>
    <w:bookmarkStart w:id="37" w:name="Xa629a0a0baf64ba10a141e3d643cc6690bf1dec"/>
    <w:p>
      <w:pPr>
        <w:pStyle w:val="Heading2"/>
      </w:pPr>
      <w:r>
        <w:t xml:space="preserve">Aggreement in style ratings across conditions</w:t>
      </w:r>
    </w:p>
    <w:p>
      <w:pPr>
        <w:pStyle w:val="FirstParagraph"/>
      </w:pPr>
      <w:r>
        <w:t xml:space="preserve">We were also interested, how consisten the participants judged the different styles in the different conditions on the</w:t>
      </w:r>
      <w:r>
        <w:t xml:space="preserve"> </w:t>
      </w:r>
      <w:r>
        <w:t xml:space="preserve">nine Dislike subscales. To this end, we binarized the Dislike subscales, by cutting along the midpoint of the scale, i.e. for values above 3 we intepreted the subscale as an attribute that applies, otherwise as an attribute that not applies. We then looked a the distribution of the attributes and generated a overall judgment by a majority vote. If, however, the votes for this attribute (per style and conditions) was no significantly different according to a chi-squared test with signinifican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judgmente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Like</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anyway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any style, only for</w:t>
      </w:r>
      <w:r>
        <w:t xml:space="preserve"> </w:t>
      </w:r>
      <w:r>
        <w:rPr>
          <w:i/>
        </w:rPr>
        <w:t xml:space="preserve">World</w:t>
      </w:r>
      <w:r>
        <w:t xml:space="preserve">, where the judgement were always mixed on both attribute, and</w:t>
      </w:r>
      <w:r>
        <w:t xml:space="preserve"> </w:t>
      </w:r>
      <w:r>
        <w:rPr>
          <w:i/>
        </w:rPr>
        <w:t xml:space="preserve">Blues</w:t>
      </w:r>
      <w:r>
        <w:t xml:space="preserve">, which always received a mixed judgment of</w:t>
      </w:r>
      <w:r>
        <w:t xml:space="preserve"> </w:t>
      </w:r>
      <w:r>
        <w:rPr>
          <w:b/>
        </w:rPr>
        <w:t xml:space="preserve">Too Emotional</w:t>
      </w:r>
      <w:r>
        <w:t xml:space="preserve">. This reflect the general consistently mixed judgement of</w:t>
      </w:r>
      <w:r>
        <w:t xml:space="preserve"> </w:t>
      </w:r>
      <w:r>
        <w:rPr>
          <w:i/>
        </w:rPr>
        <w:t xml:space="preserve">World</w:t>
      </w:r>
      <w:r>
        <w:t xml:space="preserve"> </w:t>
      </w:r>
      <w:r>
        <w:t xml:space="preserve">and and</w:t>
      </w:r>
      <w:r>
        <w:t xml:space="preserve"> </w:t>
      </w:r>
      <w:r>
        <w:rPr>
          <w:i/>
        </w:rPr>
        <w:t xml:space="preserve">Blues</w:t>
      </w:r>
      <w:r>
        <w:t xml:space="preserve">, wich also stems from the fact that these were the least frequently selected styles.</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bookmarkEnd w:id="37"/>
    <w:bookmarkStart w:id="41"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Finally, 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w:t>
      </w:r>
    </w:p>
    <w:p>
      <w:pPr>
        <w:pStyle w:val="CaptionedFigure"/>
      </w:pPr>
      <w:r>
        <w:drawing>
          <wp:inline>
            <wp:extent cx="5334000" cy="3556000"/>
            <wp:effectExtent b="0" l="0" r="0" t="0"/>
            <wp:docPr descr="Fig. 5a. Chi-Squared Residuals for styles in Style/Strong conditions for Age Group" title="" id="1" name="Picture"/>
            <a:graphic>
              <a:graphicData uri="http://schemas.openxmlformats.org/drawingml/2006/picture">
                <pic:pic>
                  <pic:nvPicPr>
                    <pic:cNvPr descr="dislikes_report_files/figure-docx/chisqres_age_group-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5a. Chi-Squared Residuals for styles in Style/Strong conditions for Age Group</w:t>
      </w:r>
    </w:p>
    <w:p>
      <w:pPr>
        <w:pStyle w:val="CaptionedFigure"/>
      </w:pPr>
      <w:r>
        <w:drawing>
          <wp:inline>
            <wp:extent cx="5334000" cy="3556000"/>
            <wp:effectExtent b="0" l="0" r="0" t="0"/>
            <wp:docPr descr="Fig. 5b. Chi-Squared Residuals for styles in Style/Strong conditions for Gender" title="" id="1" name="Picture"/>
            <a:graphic>
              <a:graphicData uri="http://schemas.openxmlformats.org/drawingml/2006/picture">
                <pic:pic>
                  <pic:nvPicPr>
                    <pic:cNvPr descr="dislikes_report_files/figure-docx/chisqres_gender-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5b. Chi-Squared Residuals for styles in Style/Strong conditions for Gender</w:t>
      </w:r>
    </w:p>
    <w:p>
      <w:pPr>
        <w:pStyle w:val="CaptionedFigure"/>
      </w:pPr>
      <w:r>
        <w:drawing>
          <wp:inline>
            <wp:extent cx="5334000" cy="3556000"/>
            <wp:effectExtent b="0" l="0" r="0" t="0"/>
            <wp:docPr descr="Fig. 5c. Chi-Squared Residuals for styles in Style/Strong conditions for LPA classes" title="" id="1" name="Picture"/>
            <a:graphic>
              <a:graphicData uri="http://schemas.openxmlformats.org/drawingml/2006/picture">
                <pic:pic>
                  <pic:nvPicPr>
                    <pic:cNvPr descr="dislikes_report_files/figure-docx/chisqres_lpa_class-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5c. Chi-Squared Residuals for styles in Style/Strong conditions for LPA classes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2022-01-17T16:59:21Z</dcterms:created>
  <dcterms:modified xsi:type="dcterms:W3CDTF">2022-01-17T16:59:21Z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13.01.2022</vt:lpwstr>
  </property>
  <property fmtid="{D5CDD505-2E9C-101B-9397-08002B2CF9AE}" pid="3" name="output">
    <vt:lpwstr>word_document</vt:lpwstr>
  </property>
</Properties>
</file>