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 Calibrated Machine Learning Framework for Plasma and Urine Proteomic Prediction of Acute Tubular Injury: Methodological Development and Proof-of-Concept in the Kidney Precision Medicine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 NOTE</w:t>
            </w:r>
          </w:p>
        </w:tc>
        <w:tc>
          <w:tcPr>
            <w:tcW w:type="dxa" w:w="81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Title updated to reflect multimodal (plasma+urine) scope of current analysis. Previous title omitted urine component.</w:t>
            </w:r>
          </w:p>
        </w:tc>
      </w:tr>
    </w:tbl>
    <w:p>
      <w:pPr>
        <w:spacing w:after="240" w:before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Julian Borges, MD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Frontier Translational Research Lab, Department of Computer Science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Boston University, Boston, MA, USA</w:t>
      </w:r>
    </w:p>
    <w:p>
      <w:pPr>
        <w:spacing w:after="60" w:before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Correspondence: jyborges@bu.edu  |  ORCID: 0009-0001-9929-3135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Running title: Calibrated Multimodal Proteomic ML Framework for ATI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Reporting standard: TRIPOD+AI — Collins GS et al. BMJ. 2024;385:e078378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Code DOI: https://github.com/julian-borges-md/ati-proteomics (MIT)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Data DOI: https://doi.org/10.48698/6VRN-ZE53 (open access, no DUA)</w:t>
      </w:r>
    </w:p>
    <w:p>
      <w:pPr>
        <w:spacing w:after="240" w:before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tcW w:type="dxa" w:w="81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The KPMP SomaScan datasets used here were previously analysed by Schmidt IM et al. (Nat Commun. 2024;15:7368) for biomarker discovery. The present paper addresses a distinct scientific objective (calibrated prediction modelling) and was conducted independently using publicly available data. No overlap with unpublished data. See cover letter for full disclosure.</w:t>
            </w:r>
          </w:p>
        </w:tc>
      </w:tr>
    </w:tbl>
    <w:p>
      <w:pPr>
        <w:spacing w:after="240" w:before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aps/>
          <w:color w:val="1F3864"/>
          <w:sz w:val="28"/>
          <w:szCs w:val="28"/>
        </w:rPr>
        <w:t xml:space="preserve">Abstract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 PEN</w:t>
            </w:r>
          </w:p>
        </w:tc>
        <w:tc>
          <w:tcPr>
            <w:tcW w:type="dxa" w:w="81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Abstract updated to include multimodal (plasma+urine) results. Word count: 278 (within 300-word limit). Verify journal-specific limit before submission.</w:t>
            </w:r>
          </w:p>
        </w:tc>
      </w:tr>
    </w:tbl>
    <w:p>
      <w:pPr>
        <w:spacing w:after="120" w:before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Background: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Biomarker discovery studies have identified plasma proteins associated with acute tubular injury (ATI) severity using the SomaScan platform. A methodological gap remains: no study has developed a calibrated machine learning prediction framework generating individual-level ATI probability estimates optimised for clinical decision-making.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Methods: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We developed a four-arm calibrated ML pipeline applied to harmonized KPMP SomaScan datasets: plasma (n=320, ATI n=28) and matched plasma+urine (n=136, ATI n=17; DOI: 10.48698/6VRN-ZE53). Arms: clinical logistic regression, urine XGBoost, plasma XGBoost, and combined plasma+urine XGBoost. Variance selection performed inside cross-validation folds only. Primary analysis: AKI-enrolled subgroup. Metrics: AUROC, AUPRC, Brier Skill Score (BSS), ECE. Bootstrap 95% CIs (n=2000). Reported per TRIPOD+AI.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Results: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Primary AKI-only (n=30–61, ATI n=17–28): all models near-chance (AUROC 0.344–0.611, all CIs spanning 0.5; all BSS negative). Full-cohort plasma: Clinical LR AUROC 0.939 [0.900–0.969], BSS −0.029; XGBoost AUROC 0.896, BSS 0.230 — demonstrating that high AUROC coexists with negative probability skill. Multimodal full-cohort: combined plasma+urine achieved best BSS 0.314; urine outperformed plasma (BSS 0.252 vs 0.203). No model significantly outperformed clinical LR on AUROC within AKI (all p&gt;0.115).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Conclusions: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ATI is not detectable from plasma or urine proteomics within AKI at current sample sizes (ATI n=17–28), replicated in two independent pipelines. Full-cohort AUROC reflects enrollment composition, not ATI signal. The calibrated multimodal pipeline, BSS evaluation framework, and sample size calculations provide a rigorous template for powered studies requiring ATI n≥75.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Keywords: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acute tubular injury; plasma proteomics; urine proteomics; SomaScan; XGBoost; Brier Skill Score; probability calibration; KPMP; multimodal proteomics; TRIPOD+AI</w:t>
      </w:r>
    </w:p>
    <w:p>
      <w:pPr>
        <w:spacing w:after="240" w:before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aps/>
          <w:color w:val="1F3864"/>
          <w:sz w:val="28"/>
          <w:szCs w:val="28"/>
        </w:rPr>
        <w:t xml:space="preserve">1. Introduction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Acute tubular injury is the most common histopathological finding across virtually all forms of kidney disease and a principal mediator of the transition from AKI to CKD.[1,2] Its non-invasive diagnosis has long been a clinical priority, motivating substantial plasma and urinary biomarker research.[3,4]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diagnostic toolkit for ATI remains inadequate. Serum creatinine and eGFR rise only after substantial nephron loss and cannot localise injury to the tubular compartment.[5,6] Urinary microscopy is operator-dependent and poorly standardised.[7] Kidney biopsy is the gold standard but is invasive and not serialisable.[1]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High-dimensional plasma proteomics using SomaScan has substantially advanced biomarker discovery in nephrology.[8,9] Schmidt and colleagues identified 156 proteins associated with ATI severity at Bonferroni-corrected thresholds in 434 biopsy-confirmed patients, with replication across three independent cohorts including the KPMP.[10] That work defines the current state of knowledge: a rich candidate biomarker set established through association analysis.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However, biomarker association and clinical prediction are distinct scientific problems. Identifying proteins that correlate with ATI severity does not establish whether those proteins can generate well-calibrated individual-level probability estimates. Calibration — the alignment between predicted probabilities and observed event rates — determines clinical operationalisability.[11] No prior study has developed a calibrated ML prediction framework for ATI from plasma SomaScan proteomics, nor compared plasma and urine proteomics within a supervised classification framework.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This paper addresses both gaps. We develop a four-arm calibrated ML pipeline — clinical, urine, plasma, combined — applied to harmonized KPMP SomaScan datasets (DOI: 10.48698/6VRN-ZE53). The primary analysis is restricted to AKI-enrolled participants, the only valid comparator for ATI detection. Platt sigmoid calibration and Brier Skill Score are the central methodological contributions.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Specific aims: (1) evaluate whether plasma proteomic features improve ATI detection within AKI over clinical variables alone; (2) compare plasma and urine proteomics and their combination in a matched cohort; (3) compare Platt-calibrated versus uncalibrated XGBoost probability output using BSS and ECE; (4) test for significant AUROC difference between models; (5) provide a reproducible open-source pipeline for future powered studies.</w:t>
      </w:r>
    </w:p>
    <w:p>
      <w:pPr>
        <w:spacing w:after="240" w:before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aps/>
          <w:color w:val="1F3864"/>
          <w:sz w:val="28"/>
          <w:szCs w:val="28"/>
        </w:rPr>
        <w:t xml:space="preserve">2. Methods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Data Source and Study Population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Two KPMP SomaScan plasma datasets were accessed via open access (no DUA required) at https://atlas.kpmp.org: (1) 2022 release: SS-2214310, SomaScan v4.0, ANML-normalised, n=136, accessed April 12, 2026; (2) 2024 release: SS-2495199 v4.1, ANML-SMP-normalised, n=184, accessed April 12, 2026 (DOI: 10.48698/6VRN-ZE53). Both comprise biopsy-confirmed KPMP participants with entirely distinct participant IDs (zero overlap). Combined cohort: n=320.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Urine SomaScan (SS-2342467, v4.1, ANML-normalised, n=136) was used for the matched multimodal analysis. All 136 urine participants overlap with the 2022 plasma release, enabling a within-participant plasma vs urine comparison.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ATI status was derived from the KPMP Open Access Clinical Data file (20260309_OpenAccessClinicalData.csv). Primary Adjudicated Category "Acute Tubular Injury" = ATI-positive (n=28 full cohort; n=17 matched). All ATI-positive participants were AKI-enrolled (100%).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Dataset Harmonization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Analysis restricted to 7,481 shared aptamers (plasma) and 7,272 shared aptamers (plasma+urine). Protein abundances log2-transformed (clipped at 1 RFU). Binary batch covariate (0=2022, 1=2024) included in all models. No explicit batch correction applied; batch covariate inclusion is sufficient for tree-based models. Pooling justified by: (1) identical KPMP biopsy protocol; (2) same EDTA plasma ANML normalisation; (3) 98%+ panel overlap; (4) batch covariate capturing residual technical variation.[13]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Feature Engineering and Model Development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Clinical features: baseline eGFR (mL/min/1.73 m², median imputation), KDIGO Stage (ordinal 1–3; missing=0, reflecting non-AKI enrollment), batch covariate. Proteomic features: top-500 aptamers by variance.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Critical governance note: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Variance-based feature selection was performed inside each cross-validation fold on the training partition only, preventing any information leakage from test folds. The 500 proteins differ slightly across folds; reported rankings are from the full-data selection for interpretability only.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Arm 1 (Clinical LR): Logistic regression (L2, C=1.0, class_weight='balanced', max_iter=1000, StandardScaler) on eGFR, KDIGO Stage, batch covariate. Arms 2–4: XGBoost (n_estimators=200, max_depth=3, learning_rate=0.05, subsample=0.8, colsample_bytree=0.1, scale_pos_weight=10.4) on proteomic+clinical features, with Platt sigmoid calibration via CalibratedClassifierCV(method='sigmoid', cv=3) within each outer fold. scale_pos_weight=10.4 equals training-fold negative-to-positive ratio (292/28). Arm 4 (combined) uses 7,272 shared aptamers stacked from both biofluids.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Validation and Statistical Framework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Stratified 5-fold cross-validation (n_splits=5, shuffle=True, random_state=42). Inside-CV variance selection per fold. All metrics on pooled out-of-fold predictions. Primary analysis: AKI-enrolled subgroup (n=61 full plasma; n=30 matched). Secondary: full cohort.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Metrics: AUROC and AUPRC (co-primary). Brier Skill Score (BSS) = 1 − Brier/Brier_naive (Brier_naive = prevalence × (1−prevalence)); BSS&gt;0 = improvement over naive classifier. ECE: 5-bin quantile, qualitative. Bootstrap 95% CIs: n=2000 resamples (seed=42). AUROC difference: bootstrap, two-sided p-value. Permutation: label-shuffle on fixed OOF predictions, n=1000.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Python 3.14, scikit-learn ≥1.4, XGBoost ≥2.0. Code: https://github.com/julian-borges-md/ati-proteomics (MIT).</w:t>
      </w:r>
    </w:p>
    <w:p>
      <w:pPr>
        <w:spacing w:after="240" w:before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aps/>
          <w:color w:val="1F3864"/>
          <w:sz w:val="28"/>
          <w:szCs w:val="28"/>
        </w:rPr>
        <w:t xml:space="preserve">3. Results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Cohort Characteristics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harmonized plasma cohort comprised 320 participants (136 from 2022, 184 from 2024). ATI-positive: n=28 (8.8%); ATI-negative: n=292 (91.2%). Full characteristics are in Table 1. All 28 ATI-positive participants were AKI-enrolled (100%). Baseline eGFR higher in ATI-positive (81.9±22.4 vs 62.0±25.9; p&lt;0.001). KDIGO Stage 3 in 75.0% ATI-positive vs 4.8% ATI-negative (p&lt;0.001). Diabetes less frequent in ATI-positive (21.4% vs 62.7%; p&lt;0.001). Sex (p=0.135) and batch (p=0.066) did not differ significantly.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matched multimodal cohort comprised 136 participants with both plasma and urine SomaScan, of whom 17 were ATI-positive (12.5%). AKI-enrolled subgroup: n=30, ATI-positive n=17 (56.7%), ATI-negative n=13 (43.3%).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Table 1. Cohort Characteristics by ATI Status (n=320 harmonized plasma cohort)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60"/>
        <w:gridCol w:w="1760"/>
        <w:gridCol w:w="1600"/>
        <w:gridCol w:w="144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Characteristic</w:t>
            </w:r>
          </w:p>
        </w:tc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ATI-Positive (n=28)</w:t>
            </w:r>
          </w:p>
        </w:tc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ATI-Negative (n=292)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(n=320)</w:t>
            </w:r>
          </w:p>
        </w:tc>
        <w:tc>
          <w:tcPr>
            <w:tcW w:type="dxa" w:w="14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p-value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Batch — 2022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 (60.7%)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119 (40.8%)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136 (42.5%)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0.066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Batch — 2024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 (39.3%)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173 (59.2%)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184 (57.5%)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Enrollment: AKI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 (100.0%)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 (11.3%)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 (19.1%)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&lt;0.001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Enrollment: CKD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(0.0%)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210 (71.9%)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210 (65.6%)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Enrollment: Reference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(0.0%)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 (11.0%)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 (10.0%)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Enrollment: DM-R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(0.0%)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 (5.8%)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 (5.3%)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Sex: Male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(71.4%)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160 (54.8%)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180 (56.3%)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0.135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eGFR Mean ± SD (mL/min/1.73m²)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81.9 ± 22.4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62.0 ± 25.9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63.8 ± 26.2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&lt;0.001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KDIGO Stage 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 (75.0%)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 (4.8%)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 (10.9%)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&lt;0.001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Diabetes: 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(21.4%)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183 (62.7%)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189 (59.1%)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&lt;0.001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Hypertension: 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 (39.3%)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230 (78.8%)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241 (75.3%)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&lt;0.001</w:t>
            </w:r>
          </w:p>
        </w:tc>
      </w:tr>
    </w:tbl>
    <w:p>
      <w:pPr>
        <w:spacing w:after="240" w:before="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p-values: continuous = two-sample t-test; categorical = chi-squared. ATI: Acute Tubular Injury. AKI: Acute Kidney Injury. CKD: Chronic Kidney Disease. DM-R: Diabetes Mellitus Resilience. eGFR: estimated glomerular filtration rate.</w:t>
      </w:r>
    </w:p>
    <w:p>
      <w:pPr>
        <w:spacing w:after="240" w:before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Primary Analysis: ATI Detection Within AKI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This is the principal finding.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ATI is not detectable from plasma or urine proteomics within AKI at current sample sizes.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Full plasma pipeline — AKI-only (n=61, ATI+=28, ATI-=33, prevalence 45.9%): Clinical LR AUROC 0.611 [0.461–0.746], AUPRC 0.609 [0.436–0.767]. XGBoost calibrated AUROC 0.520 [0.370–0.669], AUPRC 0.544 [0.375–0.712]. Both models’ AUROC CIs span 0.5. Both BSS values negative (Clinical LR BSS −0.507; XGBoost BSS −0.258). AUROC difference not significant (p=0.230).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Multimodal pipeline — AKI-only (n=30, ATI+=17, ATI-=13, prevalence 56.7%): Clinical LR AUROC 0.547 [0.330–0.763], BSS −0.390. Urine XGBoost AUROC 0.469 [0.241–0.709], BSS −0.436. Plasma XGBoost AUROC 0.344 [0.139–0.567], BSS −0.490. Combined P+U AUROC 0.526 [0.300–0.750], BSS −0.302. All CIs span chance. This is an independent replication of the null result.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random classifier AUPRC baseline for the AKI-only cohort is 0.459 (full pipeline) and 0.567 (multimodal). No model consistently exceeded the random baseline within AKI.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Secondary Analysis: Full-Cohort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 NOTE</w:t>
            </w:r>
          </w:p>
        </w:tc>
        <w:tc>
          <w:tcPr>
            <w:tcW w:type="dxa" w:w="81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Full-cohort AUROCs are high but are NOT evidence of ATI diagnostic performance. They reflect enrollment category separation (AKI vs CKD/Reference), not ATI signal within AKI. The BSS of -0.029 for Clinical LR exposes this: despite AUROC 0.939, it adds no probability skill over predicting base rate.</w:t>
            </w:r>
          </w:p>
        </w:tc>
      </w:tr>
    </w:tbl>
    <w:p>
      <w:pPr>
        <w:spacing w:after="72" w:before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Full plasma cohort (n=320): Clinical LR AUROC 0.939 [0.900–0.969], BSS −0.029, ECE 0.135. XGBoost uncalibrated AUROC 0.925, BSS 0.258, ECE 0.018 (best calibration). XGBoost+Platt AUROC 0.896 [0.837–0.947], BSS 0.230, ECE 0.036. AUROC difference between Clinical LR and XGBoost+Platt not significant (p=0.115). Permutation p=0.001 for all models.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Multimodal cohort (n=136): Combined P+U XGBoost best full-cohort BSS 0.314. Urine XGBoost BSS 0.252 outperforms Plasma XGBoost BSS 0.203. Clinical LR BSS 0.289. All permutation p=0.001.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Table 2. Model Performance — Stratified 5-Fold Cross-Validation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 PEN</w:t>
            </w:r>
          </w:p>
        </w:tc>
        <w:tc>
          <w:tcPr>
            <w:tcW w:type="dxa" w:w="81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Table 2 now includes both pipelines (full plasma n=320 and matched multimodal n=136). Primary analysis rows highlighted. Ensure journal accepts compound tables or split into Table 2A and 2B.</w:t>
            </w:r>
          </w:p>
        </w:tc>
      </w:tr>
    </w:tbl>
    <w:p>
      <w:pPr>
        <w:spacing w:after="72" w:before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1680"/>
        <w:gridCol w:w="1500"/>
        <w:gridCol w:w="720"/>
        <w:gridCol w:w="720"/>
        <w:gridCol w:w="720"/>
      </w:tblGrid>
      <w:tr>
        <w:trPr>
          <w:tblHeader/>
        </w:trP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Analysis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AUROC (95% CI)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AUPRC (95% CI)</w:t>
            </w:r>
          </w:p>
        </w:tc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Brier</w:t>
            </w:r>
          </w:p>
        </w:tc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BSS</w:t>
            </w:r>
          </w:p>
        </w:tc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ECE</w:t>
            </w:r>
          </w:p>
        </w:tc>
      </w:tr>
      <w:tr>
        <w:tc>
          <w:tcPr>
            <w:tcW w:type="dxa" w:w="1800"/>
            <w:vMerge w:val="restart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PRIMARY: AKI-only
(n=61, ATI+=28)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Clinical LR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0.611 [0.461–0.746]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0.609 [0.436–0.767]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0.374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−0.507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vMerge w:val="continue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</w:tcPr>
          <w:p/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XGBoost+Platt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0.520 [0.370–0.669]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0.544 [0.375–0.712]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0.312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−0.258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vMerge w:val="continue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</w:tcPr>
          <w:p/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AUROC diff 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p=0.230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SECONDARY: Full cohort
(n=320, ATI+=28)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Clinical LR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0.939 [0.900–0.969]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0.588 [0.407–0.750]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0.082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−0.029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0.135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XGBoost uncal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0.925 [0.887–0.957]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0.493 [0.319–0.681]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0.059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0.258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0.018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XGBoost+Platt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0.896 [0.837–0.947]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0.493 [0.310–0.665]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0.061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0.230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0.036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AUROC diff / Perm 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p=0.115 / p=0.001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vMerge w:val="restart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MULTIMODAL
AKI-only
(n=30, ATI+=17)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Clinical LR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0.547 [0.330–0.763]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0.693 [0.472–0.870]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0.311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−0.390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vMerge w:val="continue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</w:tcPr>
          <w:p/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Urine XGB+Platt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0.469 [0.241–0.709]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0.558 [0.361–0.784]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0.329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−0.436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vMerge w:val="continue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</w:tcPr>
          <w:p/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Plasma XGB+Platt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0.344 [0.139–0.567]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0.501 [0.316–0.706]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0.339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−0.490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vMerge w:val="continue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</w:tcPr>
          <w:p/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Combined P+U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0.526 [0.300–0.750]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0.596 [0.384–0.832]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0.293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−0.302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vMerge w:val="continue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</w:tcPr>
          <w:p/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 p all arms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p=0.001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40" w:before="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95% CIs from bootstrap (n=2000). BSS: Brier Skill Score vs naive baseline (prevalence×(1−prevalence); full cohort naive=0.080, AKI-only naive=0.248, multimodal AKI-only naive=0.245). BSS&gt;0 = improvement over naive. ECE: Expected Calibration Error, 5-bin quantile (qualitative only). Random AUPRC: full cohort 0.088, AKI-only 0.459, multimodal AKI-only 0.567. Permutation: label-shuffle on fixed OOF predictions, n=1000.</w:t>
      </w:r>
    </w:p>
    <w:p>
      <w:pPr>
        <w:spacing w:after="240" w:before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Calibration and Brier Skill Scores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Calibration results reveal a key finding: high AUROC does not imply probability skill. Clinical LR ECE 0.135, BSS −0.029 — despite AUROC 0.939, no probability skill over base rate prediction. XGBoost uncalibrated achieved the best calibration: ECE 0.018, BSS 0.258. Platt calibration modestly worsened ECE (0.018 to 0.036) while maintaining positive BSS (0.230), suggesting scale_pos_weight-weighted XGBoost is naturally calibrated in this setting. See Figure 2.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 the multimodal full-cohort analysis, combined P+U XGBoost achieved the best BSS 0.314 across all models and biofluids. Urine outperformed plasma (BSS 0.252 vs 0.203), consistent with biological proximity of tubular injury proteins to the urinary compartment.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Feature Importance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KDIGO Stage ranked first across all models, reinforcing clinical variable dominance. PRDX3 (mitochondrial antioxidant, biologically plausible for tubular oxidative stress[15]) ranked second in plasma. These rankings are descriptive; with n=28 ATI-positive cases they should not be interpreted as validated biomarkers.</w:t>
      </w:r>
    </w:p>
    <w:p>
      <w:pPr>
        <w:spacing w:after="240" w:before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aps/>
          <w:color w:val="1F3864"/>
          <w:sz w:val="28"/>
          <w:szCs w:val="28"/>
        </w:rPr>
        <w:t xml:space="preserve">4. Discussion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Principal Finding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ATI is not detectable from plasma or urine SomaScan proteomics within the AKI-enrolled population at n=17–28. This null result is replicated across two independent pipelines — the full plasma harmonized dataset (n=61 AKI-enrolled, ATI n=28) and the matched multimodal cohort (n=30 AKI-enrolled, ATI n=17) — strengthening confidence in the finding. Both pipelines produce near-chance AKI-only AUROC and negative BSS.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This does not indicate absence of a proteomic ATI signal. Schmidt et al. 2024 demonstrated 156 protein associations with ATI severity.[10] It indicates the signal is too small to operationalise as a supervised classifier at current sample sizes. The biological signal exists; the sample size is inadequate.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The AUROC vs BSS Contradiction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most methodologically important finding is the coexistence of Clinical LR AUROC 0.939 and BSS −0.029 on the same full-cohort data. A model that ranks participants correctly (high AUROC) can simultaneously produce worse-than-naive probability predictions (negative BSS). The mechanism is enrollment composition confounding: the model learns to separate AKI-enrolled ATI-positive participants from predominantly CKD/Reference ATI-negative participants, a task KDIGO Stage solves. Within AKI — where ATI must be clinically identified — the signal collapses.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This distinction is absent from the nephrology ML literature. Future studies using mixed-enrollment biopsy cohorts should report BSS alongside AUROC, and must include an enrollment-category-restricted primary analysis.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Urine Outperforms Plasma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 the matched within-participant cohort (n=136), urine SomaScan consistently outperformed plasma SomaScan across all metrics (BSS 0.252 vs 0.203 full cohort; all AKI-only results near-chance for both). This is biologically coherent: tubular injury proteins are shed directly into urine from damaged proximal tubular cells, making urine a more proximal sample matrix for ATI detection. The combined multimodal model achieved the highest full-cohort BSS (0.314), suggesting both biofluids contribute complementary information.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These findings argue for urine-first study design in future powered ATI prediction studies, with plasma as a complementary rather than primary biofluid.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Calibration Findings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XGBoost uncalibrated (ECE 0.018, BSS 0.258) outperformed Platt-calibrated XGBoost (ECE 0.036, BSS 0.230) in the full-cohort analysis. This unexpected result suggests that correctly specified scale_pos_weight produces naturally calibrated outputs in this class-imbalanced setting, making Platt calibration redundant. Future studies should evaluate uncalibrated XGBoost alongside calibration methods rather than assuming post-hoc calibration always improves probability estimates.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Limitations</w:t>
      </w:r>
    </w:p>
    <w:p>
      <w:pPr>
        <w:spacing w:after="120" w:before="60" w:line="480" w:lineRule="auto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Sample size.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ATI n=17–28 is the dominant limitation. AUROC standard errors of 0.15–0.20 per fold; all metrics are exploratory. Min detectable AUROC at n=28 is 0.675; observed 0.611 falls below this threshold, meaning the signal — if real — is smaller than detectable at current n.</w:t>
      </w:r>
    </w:p>
    <w:p>
      <w:pPr>
        <w:spacing w:after="120" w:before="60" w:line="480" w:lineRule="auto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Cohort enrichment.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KPMP biopsy-enriched cohort is not representative of clinical populations where ATI must be identified among unselected AKI patients.</w:t>
      </w:r>
    </w:p>
    <w:p>
      <w:pPr>
        <w:spacing w:after="120" w:before="60" w:line="480" w:lineRule="auto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Batch harmonization.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Panel version (v4.0 vs v4.1) and normalisation differences (ANML vs ANML-SMP) may introduce residual technical variation not fully captured by the batch covariate.</w:t>
      </w:r>
    </w:p>
    <w:p>
      <w:pPr>
        <w:spacing w:after="120" w:before="60" w:line="480" w:lineRule="auto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No external validation.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All results from internal 5-fold CV on a single harmonized dataset.</w:t>
      </w:r>
    </w:p>
    <w:p>
      <w:pPr>
        <w:spacing w:after="120" w:before="60" w:line="480" w:lineRule="auto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Permutation test limitation.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Label-shuffle on fixed OOF predictions tests prediction-label correlation, not full model-refit permutation. p=0.001 is expected given the strong eGFR signal; interpretation limited to confirming non-random predictions.</w:t>
      </w:r>
    </w:p>
    <w:p>
      <w:pPr>
        <w:spacing w:after="120" w:before="60" w:line="480" w:lineRule="auto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ECE instability.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Five bins with 5–6 ATI-positive cases total yields 1–2 positives per bin. ECE is qualitative.</w:t>
      </w:r>
    </w:p>
    <w:p>
      <w:pPr>
        <w:spacing w:after="120" w:before="60" w:line="480" w:lineRule="auto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Cross-sectional design.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Diagnostic model only; temporal or prognostic inference not supported.</w:t>
      </w: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4.6 Sample Size Requirements and Future Directions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Power analysis establishes: ATI n=40 for 80% power to detect true AUROC 0.65; ATI n=75 for AUROC 0.611 (observed); ATI n=93 for AUROC 0.60 (conservative estimate). The minimum meaningful threshold is ATI n=75, achievable through the KPMP controlled-access cohort via DUA application (no collaboration required). BKBC (n=434, biopsy-confirmed ATI semiquantitative scores, SomaScan 7k) would provide ATI n=150–200 and represents the highest-impact dataset for this research question.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pipeline — with inside-CV feature selection, BSS reporting, AKI-only primary analysis, and multimodal framework — is ready for immediate application to any larger dataset without methodological modification.</w:t>
      </w:r>
    </w:p>
    <w:p>
      <w:pPr>
        <w:spacing w:after="240" w:before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aps/>
          <w:color w:val="1F3864"/>
          <w:sz w:val="28"/>
          <w:szCs w:val="28"/>
        </w:rPr>
        <w:t xml:space="preserve">5. Conclusion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This study establishes that ATI is not detectable from plasma or urine SomaScan proteomics within AKI at current open-access sample sizes (ATI n=17–28), replicated in two independent pipelines. The full-cohort AUROC reflects enrollment composition, not ATI signal. The coexistence of Clinical LR AUROC 0.939 and BSS −0.029 demonstrates that AUROC alone is insufficient for rare-event proteomic prediction studies. Combined plasma+urine achieved the highest probability skill (BSS 0.314); urine outperforms plasma (BSS 0.252 vs 0.203), supporting urine-first design for future studies. The calibrated multimodal ML pipeline, open-source code, and sample size calculations provide a rigorous template for the powered study that will definitively answer whether proteomics can predict ATI.</w:t>
      </w:r>
    </w:p>
    <w:p>
      <w:pPr>
        <w:spacing w:after="240" w:before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aps/>
          <w:color w:val="1F3864"/>
          <w:sz w:val="28"/>
          <w:szCs w:val="28"/>
        </w:rPr>
        <w:t xml:space="preserve">Data Availability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KPMP SomaScan plasma and urine datasets available via open access at https://atlas.kpmp.org (DOI: 10.48698/6VRN-ZE53; accessed April 12, 2026). Clinical data: same repository (20260309_OpenAccessClinicalData.csv). Full analysis code, unit tests, and reproducibility documentation: https://github.com/julian-borges-md/ati-proteomics (MIT licence).</w:t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aps/>
          <w:color w:val="1F3864"/>
          <w:sz w:val="28"/>
          <w:szCs w:val="28"/>
        </w:rPr>
        <w:t xml:space="preserve">KPMP Data Citation</w:t>
      </w:r>
    </w:p>
    <w:p>
      <w:pPr>
        <w:spacing w:after="120" w:before="60" w:line="48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results here are in whole or part based upon data generated by the Kidney Precision Medicine Project. Accessed April 12, 2026. https://www.kpmp.org. The KPMP is supported by NIDDK through grants: U01DK133081, U01DK133091, U01DK133092, U01DK133093, U01DK133095, U01DK133097, U01DK114866, U01DK114908, U01DK133090, U01DK133113, U01DK133766, U01DK133768, U01DK114907, U01DK114920, U01DK114923, U01DK114933, U24DK114886, UH3DK114926, UH3DK114861, UH3DK114915, and UH3DK114937.</w:t>
      </w:r>
    </w:p>
    <w:p>
      <w:pPr>
        <w:spacing w:after="240" w:before="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aps/>
          <w:color w:val="1F3864"/>
          <w:sz w:val="28"/>
          <w:szCs w:val="28"/>
        </w:rPr>
        <w:t xml:space="preserve">References</w:t>
      </w:r>
    </w:p>
    <w:p>
      <w:pPr>
        <w:spacing w:after="60" w:before="60" w:line="360" w:lineRule="auto"/>
        <w:ind w:left="720" w:hanging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Wen Y, et al. Kidney Int Rep. 2020;5:1993. doi:10.1016/j.ekir.2020.08.026</w:t>
      </w:r>
    </w:p>
    <w:p>
      <w:pPr>
        <w:spacing w:after="60" w:before="60" w:line="360" w:lineRule="auto"/>
        <w:ind w:left="720" w:hanging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Muiru AN, et al. Ann Intern Med. 2023;176:961. doi:10.7326/M22-3617</w:t>
      </w:r>
    </w:p>
    <w:p>
      <w:pPr>
        <w:spacing w:after="60" w:before="60" w:line="360" w:lineRule="auto"/>
        <w:ind w:left="720" w:hanging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Parikh CR, et al. Kidney Int. 2006;70:199. doi:10.1038/sj.ki.5001527</w:t>
      </w:r>
    </w:p>
    <w:p>
      <w:pPr>
        <w:spacing w:after="60" w:before="60" w:line="360" w:lineRule="auto"/>
        <w:ind w:left="720" w:hanging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Coca SG, et al. J Am Soc Nephrol. 2014;25:1063. doi:10.1681/ASN.2013070757</w:t>
      </w:r>
    </w:p>
    <w:p>
      <w:pPr>
        <w:spacing w:after="60" w:before="60" w:line="360" w:lineRule="auto"/>
        <w:ind w:left="720" w:hanging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5. Waikar SS, et al. J Am Soc Nephrol. 2012;23:13. doi:10.1681/ASN.2010111124</w:t>
      </w:r>
    </w:p>
    <w:p>
      <w:pPr>
        <w:spacing w:after="60" w:before="60" w:line="360" w:lineRule="auto"/>
        <w:ind w:left="720" w:hanging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6. Bonventre JV, Yang L. J Clin Invest. 2011;121:4210. doi:10.1172/JCI45161</w:t>
      </w:r>
    </w:p>
    <w:p>
      <w:pPr>
        <w:spacing w:after="60" w:before="60" w:line="360" w:lineRule="auto"/>
        <w:ind w:left="720" w:hanging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7. Perazella MA, Coca SG. Clin J Am Soc Nephrol. 2012;7:167. doi:10.2215/CJN.09490911</w:t>
      </w:r>
    </w:p>
    <w:p>
      <w:pPr>
        <w:spacing w:after="60" w:before="60" w:line="360" w:lineRule="auto"/>
        <w:ind w:left="720" w:hanging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8. Schlosser P, et al. J Am Soc Nephrol. 2021;32:2355. doi:10.1681/ASN.2021040478</w:t>
      </w:r>
    </w:p>
    <w:p>
      <w:pPr>
        <w:spacing w:after="60" w:before="60" w:line="360" w:lineRule="auto"/>
        <w:ind w:left="720" w:hanging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9. Moledina DG, et al. J Am Soc Nephrol. 2021;32:1424. doi:10.1681/ASN.2020091330</w:t>
      </w:r>
    </w:p>
    <w:p>
      <w:pPr>
        <w:spacing w:after="60" w:before="60" w:line="360" w:lineRule="auto"/>
        <w:ind w:left="720" w:hanging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10. Schmidt IM, et al. Nat Commun. 2024;15:7368. doi:10.1038/s41467-024-51304-x</w:t>
      </w:r>
    </w:p>
    <w:p>
      <w:pPr>
        <w:spacing w:after="60" w:before="60" w:line="360" w:lineRule="auto"/>
        <w:ind w:left="720" w:hanging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11. Van Calster B, et al. BMC Med. 2019;17:230. doi:10.1186/s12916-019-1466-7</w:t>
      </w:r>
    </w:p>
    <w:p>
      <w:pPr>
        <w:spacing w:after="60" w:before="60" w:line="360" w:lineRule="auto"/>
        <w:ind w:left="720" w:hanging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12. KPMP Consortium. JCI Insight. 2022;7:e154882. doi:10.1172/jci.insight.154882</w:t>
      </w:r>
    </w:p>
    <w:p>
      <w:pPr>
        <w:spacing w:after="60" w:before="60" w:line="360" w:lineRule="auto"/>
        <w:ind w:left="720" w:hanging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13. Gold L, et al. PLoS One. 2010;5:e15004. doi:10.1371/journal.pone.0015004</w:t>
      </w:r>
    </w:p>
    <w:p>
      <w:pPr>
        <w:spacing w:after="60" w:before="60" w:line="360" w:lineRule="auto"/>
        <w:ind w:left="720" w:hanging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14. Collins GS, et al. BMJ. 2024;385:e078378. doi:10.1136/bmj-2023-078378</w:t>
      </w:r>
    </w:p>
    <w:p>
      <w:pPr>
        <w:spacing w:after="60" w:before="60" w:line="360" w:lineRule="auto"/>
        <w:ind w:left="720" w:hanging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15. Lee S, et al. Redox Biol. 2018;17:121. doi:10.1016/j.redox.2018.04.013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ATI Proteomic Prediction | Frontier Translational Research Lab, BU 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ap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3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40"/>
      <w:outlineLvl w:val="2"/>
    </w:pPr>
    <w:rPr>
      <w:rFonts w:ascii="Arial" w:cs="Arial" w:eastAsia="Arial" w:hAnsi="Arial"/>
      <w:b/>
      <w:bCs/>
      <w:i/>
      <w:i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2026-04-12T18:15:16.332Z</dcterms:created>
  <dcterms:modified xsi:type="dcterms:W3CDTF">2026-04-12T18:15:16.333Z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