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1F3864"/>
          <w:sz w:val="32"/>
          <w:szCs w:val="32"/>
        </w:rPr>
        <w:t xml:space="preserve">A Calibrated Machine Learning Framework for Plasma and Urine Proteomic Prediction of Acute Tubular Injury: Methodological Development and Proof-of-Concept in the Kidney Precision Medicine Project</w:t>
      </w:r>
    </w:p>
    <w:p>
      <w:pPr>
        <w:spacing w:after="80" w:before="0"/>
        <w:jc w:val="center"/>
      </w:pPr>
      <w:r>
        <w:rPr>
          <w:rFonts w:ascii="Arial" w:cs="Arial" w:eastAsia="Arial" w:hAnsi="Arial"/>
          <w:b/>
          <w:bCs/>
          <w:sz w:val="26"/>
          <w:szCs w:val="26"/>
        </w:rPr>
        <w:t xml:space="preserve">Julian Borges, MD</w:t>
      </w:r>
    </w:p>
    <w:p>
      <w:pPr>
        <w:spacing w:after="60" w:before="0"/>
        <w:jc w:val="center"/>
      </w:pPr>
      <w:r>
        <w:rPr>
          <w:rFonts w:ascii="Arial" w:cs="Arial" w:eastAsia="Arial" w:hAnsi="Arial"/>
          <w:i/>
          <w:iCs/>
          <w:color w:val="595959"/>
          <w:sz w:val="22"/>
          <w:szCs w:val="22"/>
        </w:rPr>
        <w:t xml:space="preserve">Frontier Translational Research Lab, Department of Computer Science, Boston University, Boston, MA, USA</w:t>
      </w:r>
    </w:p>
    <w:p>
      <w:pPr>
        <w:spacing w:after="40" w:before="60"/>
        <w:jc w:val="center"/>
      </w:pPr>
      <w:r>
        <w:rPr>
          <w:rFonts w:ascii="Arial" w:cs="Arial" w:eastAsia="Arial" w:hAnsi="Arial"/>
          <w:color w:val="595959"/>
          <w:sz w:val="20"/>
          <w:szCs w:val="20"/>
        </w:rPr>
        <w:t xml:space="preserve">jyborges@bu.edu  |  ORCID: 0009-0001-9929-3135</w:t>
      </w:r>
    </w:p>
    <w:p>
      <w:pPr>
        <w:spacing w:after="40" w:before="0"/>
        <w:jc w:val="center"/>
      </w:pPr>
      <w:r>
        <w:rPr>
          <w:rFonts w:ascii="Arial" w:cs="Arial" w:eastAsia="Arial" w:hAnsi="Arial"/>
          <w:color w:val="595959"/>
          <w:sz w:val="20"/>
          <w:szCs w:val="20"/>
        </w:rPr>
        <w:t xml:space="preserve">Running title: Calibrated Multimodal Proteomic ML Framework for ATI</w:t>
      </w:r>
    </w:p>
    <w:p>
      <w:pPr>
        <w:spacing w:after="40" w:before="0"/>
        <w:jc w:val="center"/>
      </w:pPr>
      <w:r>
        <w:rPr>
          <w:rFonts w:ascii="Arial" w:cs="Arial" w:eastAsia="Arial" w:hAnsi="Arial"/>
          <w:color w:val="595959"/>
          <w:sz w:val="20"/>
          <w:szCs w:val="20"/>
        </w:rPr>
        <w:t xml:space="preserve">Reporting standards: TRIPOD+AI (Collins et al. BMJ 2024); PROGRESS-Plus (O'Neill et al. 2014)</w:t>
      </w:r>
    </w:p>
    <w:p>
      <w:pPr>
        <w:spacing w:after="40" w:before="0"/>
        <w:jc w:val="center"/>
      </w:pPr>
      <w:r>
        <w:rPr>
          <w:rFonts w:ascii="Arial" w:cs="Arial" w:eastAsia="Arial" w:hAnsi="Arial"/>
          <w:color w:val="2E75B6"/>
          <w:sz w:val="20"/>
          <w:szCs w:val="20"/>
        </w:rPr>
        <w:t xml:space="preserve">Code: https://github.com/julian-borges-md/ati-proteomics (MIT, PUBLIC)</w:t>
      </w:r>
    </w:p>
    <w:p>
      <w:pPr>
        <w:spacing w:after="40" w:before="0"/>
        <w:jc w:val="center"/>
      </w:pPr>
      <w:r>
        <w:rPr>
          <w:rFonts w:ascii="Arial" w:cs="Arial" w:eastAsia="Arial" w:hAnsi="Arial"/>
          <w:color w:val="2E75B6"/>
          <w:sz w:val="20"/>
          <w:szCs w:val="20"/>
        </w:rPr>
        <w:t xml:space="preserve">Data DOI: https://doi.org/10.48698/6VRN-ZE53 (open access, no DUA)</w:t>
      </w:r>
    </w:p>
    <w:p>
      <w:pPr>
        <w:spacing w:after="240" w:before="0"/>
      </w:pPr>
      <w:r>
        <w:rPr>
          <w:rFonts w:ascii="Times New Roman" w:cs="Times New Roman" w:eastAsia="Times New Roman" w:hAnsi="Times New Roman"/>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7AE60" w:sz="1"/>
              <w:left w:val="single" w:color="27AE60" w:sz="1"/>
              <w:bottom w:val="single" w:color="27AE60" w:sz="1"/>
              <w:right w:val="single" w:color="27AE60" w:sz="1"/>
            </w:tcBorders>
            <w:shd w:fill="27AE60" w:val="clear"/>
            <w:tcMar>
              <w:top w:type="dxa" w:w="60"/>
              <w:left w:type="dxa" w:w="120"/>
              <w:bottom w:type="dxa" w:w="60"/>
              <w:right w:type="dxa" w:w="120"/>
            </w:tcMar>
            <w:vAlign w:val="center"/>
          </w:tcPr>
          <w:p>
            <w:r>
              <w:rPr>
                <w:rFonts w:ascii="Arial" w:cs="Arial" w:eastAsia="Arial" w:hAnsi="Arial"/>
                <w:b/>
                <w:bCs/>
                <w:color w:val="FFFFFF"/>
                <w:sz w:val="18"/>
                <w:szCs w:val="18"/>
              </w:rPr>
              <w:t xml:space="preserve">v7 REVISION SUMMARY
RESOLVED</w:t>
            </w:r>
          </w:p>
        </w:tc>
        <w:tc>
          <w:tcPr>
            <w:tcW w:type="dxa" w:w="7960"/>
            <w:tcBorders>
              <w:top w:val="single" w:color="27AE60" w:sz="1"/>
              <w:left w:val="single" w:color="27AE60" w:sz="1"/>
              <w:bottom w:val="single" w:color="27AE60" w:sz="1"/>
              <w:right w:val="single" w:color="27AE60" w:sz="1"/>
            </w:tcBorders>
            <w:shd w:fill="FDFEFE" w:val="clear"/>
            <w:tcMar>
              <w:top w:type="dxa" w:w="60"/>
              <w:left w:type="dxa" w:w="120"/>
              <w:bottom w:type="dxa" w:w="60"/>
              <w:right w:type="dxa" w:w="120"/>
            </w:tcMar>
          </w:tcPr>
          <w:p>
            <w:r>
              <w:rPr>
                <w:rFonts w:ascii="Arial" w:cs="Arial" w:eastAsia="Arial" w:hAnsi="Arial"/>
                <w:color w:val="000000"/>
                <w:sz w:val="20"/>
                <w:szCs w:val="20"/>
              </w:rPr>
              <w:t xml:space="preserve">All 7 reviewer issues addressed. M1: batch empirical quantification added (PCA Figure S1; median batch variance 1.9%; 0/500 proteins &gt;20% batch variance). M2: PROGRESS-Plus equity framework added (Methods 2.5, Discussion 4.5). Mod1: missing data proportions added to Table 1. Mod2: ECE comparative conclusion withdrawn; BSS bootstrap diff test added (p=0.527, CI [-0.063,0.113], not significant). mn1: AKI-only AUPRC vs random explicitly stated. mn2: scale_pos_weight fixed approximation clarified. mn3: GitHub confirmed public. mn4: feature rank stability Table S1 added. mn5: Ref 13 updated to KPMP harmonization protocol. Ref 16: Platt 1999 added. Ref 17: O'Neill 2014 PROGRESS-Plus added. Table 2: multimodal full-cohort block added.</w:t>
            </w:r>
          </w:p>
        </w:tc>
      </w:tr>
    </w:tbl>
    <w:p>
      <w:pPr>
        <w:spacing w:after="240" w:before="0"/>
      </w:pPr>
      <w:r>
        <w:rPr>
          <w:rFonts w:ascii="Times New Roman" w:cs="Times New Roman" w:eastAsia="Times New Roman" w:hAnsi="Times New Roman"/>
          <w:color w:val="000000"/>
          <w:sz w:val="24"/>
          <w:szCs w:val="24"/>
        </w:rPr>
        <w:t xml:space="preserve"/>
      </w:r>
    </w:p>
    <w:p>
      <w:r>
        <w:br w:type="page"/>
      </w:r>
    </w:p>
    <w:p>
      <w:pPr>
        <w:pStyle w:val="Heading1"/>
        <w:spacing w:after="120" w:before="480"/>
      </w:pPr>
      <w:r>
        <w:rPr>
          <w:rFonts w:ascii="Arial" w:cs="Arial" w:eastAsia="Arial" w:hAnsi="Arial"/>
          <w:b/>
          <w:bCs/>
          <w:caps/>
          <w:color w:val="1F3864"/>
          <w:sz w:val="28"/>
          <w:szCs w:val="28"/>
        </w:rPr>
        <w:t xml:space="preserve">Abstract</w:t>
      </w:r>
    </w:p>
    <w:p>
      <w:pPr>
        <w:spacing w:after="120" w:before="60" w:line="480" w:lineRule="auto"/>
        <w:jc w:val="both"/>
      </w:pPr>
      <w:r>
        <w:rPr>
          <w:rFonts w:ascii="Times New Roman" w:cs="Times New Roman" w:eastAsia="Times New Roman" w:hAnsi="Times New Roman"/>
          <w:b/>
          <w:bCs/>
          <w:color w:val="000000"/>
          <w:sz w:val="24"/>
          <w:szCs w:val="24"/>
        </w:rPr>
        <w:t xml:space="preserve">Background: </w:t>
      </w:r>
      <w:r>
        <w:rPr>
          <w:rFonts w:ascii="Times New Roman" w:cs="Times New Roman" w:eastAsia="Times New Roman" w:hAnsi="Times New Roman"/>
          <w:color w:val="000000"/>
          <w:sz w:val="24"/>
          <w:szCs w:val="24"/>
        </w:rPr>
        <w:t xml:space="preserve">Biomarker discovery studies have identified plasma proteins associated with acute tubular injury (ATI) severity using the SomaScan platform. No study has developed a calibrated machine learning prediction framework generating individual-level ATI probability estimates optimised for clinical decision-making.</w:t>
      </w:r>
    </w:p>
    <w:p>
      <w:pPr>
        <w:spacing w:after="120" w:before="60" w:line="480" w:lineRule="auto"/>
        <w:jc w:val="both"/>
      </w:pPr>
      <w:r>
        <w:rPr>
          <w:rFonts w:ascii="Times New Roman" w:cs="Times New Roman" w:eastAsia="Times New Roman" w:hAnsi="Times New Roman"/>
          <w:b/>
          <w:bCs/>
          <w:color w:val="000000"/>
          <w:sz w:val="24"/>
          <w:szCs w:val="24"/>
        </w:rPr>
        <w:t xml:space="preserve">Methods: </w:t>
      </w:r>
      <w:r>
        <w:rPr>
          <w:rFonts w:ascii="Times New Roman" w:cs="Times New Roman" w:eastAsia="Times New Roman" w:hAnsi="Times New Roman"/>
          <w:color w:val="000000"/>
          <w:sz w:val="24"/>
          <w:szCs w:val="24"/>
        </w:rPr>
        <w:t xml:space="preserve">Four-arm calibrated ML pipeline applied to harmonized KPMP SomaScan datasets: plasma (n=320, ATI n=28) and matched plasma+urine (n=136, ATI n=17; DOI: 10.48698/6VRN-ZE53). Arms: clinical logistic regression, urine XGBoost+Platt, plasma XGBoost+Platt, and combined plasma+urine XGBoost+Platt. Variance selection inside CV folds only. Primary analysis: AKI-enrolled subgroup. Metrics: AUROC, AUPRC, Brier Skill Score (BSS), ECE. Bootstrap 95% CIs (n=2000). Batch effects quantified empirically (PCA; variance decomposition). PROGRESS-Plus equity framework applied. Reported per TRIPOD+AI.</w:t>
      </w:r>
    </w:p>
    <w:p>
      <w:pPr>
        <w:spacing w:after="120" w:before="60" w:line="480" w:lineRule="auto"/>
        <w:jc w:val="both"/>
      </w:pPr>
      <w:r>
        <w:rPr>
          <w:rFonts w:ascii="Times New Roman" w:cs="Times New Roman" w:eastAsia="Times New Roman" w:hAnsi="Times New Roman"/>
          <w:b/>
          <w:bCs/>
          <w:color w:val="000000"/>
          <w:sz w:val="24"/>
          <w:szCs w:val="24"/>
        </w:rPr>
        <w:t xml:space="preserve">Results: </w:t>
      </w:r>
      <w:r>
        <w:rPr>
          <w:rFonts w:ascii="Times New Roman" w:cs="Times New Roman" w:eastAsia="Times New Roman" w:hAnsi="Times New Roman"/>
          <w:color w:val="000000"/>
          <w:sz w:val="24"/>
          <w:szCs w:val="24"/>
        </w:rPr>
        <w:t xml:space="preserve">Primary AKI-only: all models near-chance (AUROC 0.344–0.611, all CIs spanning 0.5; all BSS negative), replicated in two independent pipelines. Full-cohort plasma: Clinical LR AUROC 0.939 [0.900–0.969], BSS −0.029; XGBoost AUROC 0.896, BSS 0.230. Multimodal full-cohort: combined plasma+urine achieved best BSS 0.314; urine outperformed plasma (BSS 0.252 vs 0.203). BSS difference between uncalibrated and Platt-calibrated XGBoost not significant (bootstrap p=0.527, 95% CI [−0.063, 0.113]). Batch variance proportion: median 1.9%, maximum 16.1% across top-500 proteins; no protein exceeded 20%. Racial/ethnic composition: 56.9% White, 28.1% Black or African-American; sample sizes preclude stratified subgroup analysis.</w:t>
      </w:r>
    </w:p>
    <w:p>
      <w:pPr>
        <w:spacing w:after="120" w:before="60" w:line="480" w:lineRule="auto"/>
        <w:jc w:val="both"/>
      </w:pPr>
      <w:r>
        <w:rPr>
          <w:rFonts w:ascii="Times New Roman" w:cs="Times New Roman" w:eastAsia="Times New Roman" w:hAnsi="Times New Roman"/>
          <w:b/>
          <w:bCs/>
          <w:color w:val="000000"/>
          <w:sz w:val="24"/>
          <w:szCs w:val="24"/>
        </w:rPr>
        <w:t xml:space="preserve">Conclusions: </w:t>
      </w:r>
      <w:r>
        <w:rPr>
          <w:rFonts w:ascii="Times New Roman" w:cs="Times New Roman" w:eastAsia="Times New Roman" w:hAnsi="Times New Roman"/>
          <w:color w:val="000000"/>
          <w:sz w:val="24"/>
          <w:szCs w:val="24"/>
        </w:rPr>
        <w:t xml:space="preserve">ATI not detectable within AKI at current sample sizes (ATI n=17–28), replicated. Full-cohort AUROC reflects enrollment composition. The calibrated multimodal pipeline, PROGRESS-Plus framework, and empirical batch quantification provide a template for powered studies requiring ATI n≥75.</w:t>
      </w:r>
    </w:p>
    <w:p>
      <w:pPr>
        <w:spacing w:after="120" w:before="60" w:line="480" w:lineRule="auto"/>
        <w:jc w:val="both"/>
      </w:pPr>
      <w:r>
        <w:rPr>
          <w:rFonts w:ascii="Times New Roman" w:cs="Times New Roman" w:eastAsia="Times New Roman" w:hAnsi="Times New Roman"/>
          <w:b/>
          <w:bCs/>
          <w:color w:val="000000"/>
          <w:sz w:val="24"/>
          <w:szCs w:val="24"/>
        </w:rPr>
        <w:t xml:space="preserve">Keywords: </w:t>
      </w:r>
      <w:r>
        <w:rPr>
          <w:rFonts w:ascii="Times New Roman" w:cs="Times New Roman" w:eastAsia="Times New Roman" w:hAnsi="Times New Roman"/>
          <w:i/>
          <w:iCs/>
          <w:color w:val="000000"/>
          <w:sz w:val="24"/>
          <w:szCs w:val="24"/>
        </w:rPr>
        <w:t xml:space="preserve">acute tubular injury; plasma proteomics; urine proteomics; SomaScan; XGBoost; Brier Skill Score; probability calibration; KPMP; multimodal proteomics; TRIPOD+AI; PROGRESS-Plus; equity</w:t>
      </w:r>
    </w:p>
    <w:p>
      <w:pPr>
        <w:spacing w:after="240" w:before="0"/>
      </w:pPr>
      <w:r>
        <w:rPr>
          <w:rFonts w:ascii="Times New Roman" w:cs="Times New Roman" w:eastAsia="Times New Roman" w:hAnsi="Times New Roman"/>
          <w:color w:val="000000"/>
          <w:sz w:val="24"/>
          <w:szCs w:val="24"/>
        </w:rPr>
        <w:t xml:space="preserve"/>
      </w:r>
    </w:p>
    <w:p>
      <w:r>
        <w:br w:type="page"/>
      </w:r>
    </w:p>
    <w:p>
      <w:pPr>
        <w:pStyle w:val="Heading1"/>
        <w:spacing w:after="120" w:before="480"/>
      </w:pPr>
      <w:r>
        <w:rPr>
          <w:rFonts w:ascii="Arial" w:cs="Arial" w:eastAsia="Arial" w:hAnsi="Arial"/>
          <w:b/>
          <w:bCs/>
          <w:caps/>
          <w:color w:val="1F3864"/>
          <w:sz w:val="28"/>
          <w:szCs w:val="28"/>
        </w:rPr>
        <w:t xml:space="preserve">1. Introduction</w:t>
      </w:r>
    </w:p>
    <w:p>
      <w:pPr>
        <w:spacing w:after="120" w:before="60" w:line="480" w:lineRule="auto"/>
        <w:jc w:val="both"/>
      </w:pPr>
      <w:r>
        <w:rPr>
          <w:rFonts w:ascii="Times New Roman" w:cs="Times New Roman" w:eastAsia="Times New Roman" w:hAnsi="Times New Roman"/>
          <w:color w:val="000000"/>
          <w:sz w:val="24"/>
          <w:szCs w:val="24"/>
        </w:rPr>
        <w:t xml:space="preserve">Acute tubular injury is the most common histopathological finding across virtually all forms of kidney disease and a principal mediator of the transition from AKI to CKD.[1,2] Its non-invasive diagnosis has long been a clinical priority, motivating substantial plasma and urinary biomarker research.[3,4]</w:t>
      </w:r>
    </w:p>
    <w:p>
      <w:pPr>
        <w:spacing w:after="120" w:before="60" w:line="480" w:lineRule="auto"/>
        <w:jc w:val="both"/>
      </w:pPr>
      <w:r>
        <w:rPr>
          <w:rFonts w:ascii="Times New Roman" w:cs="Times New Roman" w:eastAsia="Times New Roman" w:hAnsi="Times New Roman"/>
          <w:color w:val="000000"/>
          <w:sz w:val="24"/>
          <w:szCs w:val="24"/>
        </w:rPr>
        <w:t xml:space="preserve">The diagnostic toolkit for ATI remains inadequate. Serum creatinine and eGFR rise only after substantial nephron loss and cannot localise injury to the tubular compartment.[5,6] Urinary microscopy is operator-dependent and poorly standardised.[7] Kidney biopsy is the gold standard but is invasive and not serialisable.[1]</w:t>
      </w:r>
    </w:p>
    <w:p>
      <w:pPr>
        <w:spacing w:after="120" w:before="60" w:line="480" w:lineRule="auto"/>
        <w:jc w:val="both"/>
      </w:pPr>
      <w:r>
        <w:rPr>
          <w:rFonts w:ascii="Times New Roman" w:cs="Times New Roman" w:eastAsia="Times New Roman" w:hAnsi="Times New Roman"/>
          <w:color w:val="000000"/>
          <w:sz w:val="24"/>
          <w:szCs w:val="24"/>
        </w:rPr>
        <w:t xml:space="preserve">High-dimensional plasma proteomics using SomaScan has substantially advanced biomarker discovery in nephrology.[8,9] Schmidt and colleagues identified 156 proteins associated with ATI severity at Bonferroni-corrected thresholds in 434 biopsy-confirmed patients, with replication across three independent cohorts including the KPMP.[10] That work defines the current state of knowledge: a rich candidate biomarker set established through association analysis.</w:t>
      </w:r>
    </w:p>
    <w:p>
      <w:pPr>
        <w:spacing w:after="120" w:before="60" w:line="480" w:lineRule="auto"/>
        <w:jc w:val="both"/>
      </w:pPr>
      <w:r>
        <w:rPr>
          <w:rFonts w:ascii="Times New Roman" w:cs="Times New Roman" w:eastAsia="Times New Roman" w:hAnsi="Times New Roman"/>
          <w:color w:val="000000"/>
          <w:sz w:val="24"/>
          <w:szCs w:val="24"/>
        </w:rPr>
        <w:t xml:space="preserve">However, biomarker association and clinical prediction are distinct scientific problems. Identifying proteins that correlate with ATI severity does not establish whether those proteins can generate well-calibrated individual-level probability estimates. Calibration — the alignment between predicted probabilities and observed event rates — determines clinical operationalisability.[11] No prior study has developed a calibrated ML prediction framework for ATI from plasma SomaScan proteomics, nor compared plasma and urine proteomics within a supervised classification framework.</w:t>
      </w:r>
    </w:p>
    <w:p>
      <w:pPr>
        <w:spacing w:after="120" w:before="60" w:line="480" w:lineRule="auto"/>
        <w:jc w:val="both"/>
      </w:pPr>
      <w:r>
        <w:rPr>
          <w:rFonts w:ascii="Times New Roman" w:cs="Times New Roman" w:eastAsia="Times New Roman" w:hAnsi="Times New Roman"/>
          <w:color w:val="000000"/>
          <w:sz w:val="24"/>
          <w:szCs w:val="24"/>
        </w:rPr>
        <w:t xml:space="preserve">This paper addresses both gaps. We develop a four-arm calibrated ML pipeline — clinical, urine, plasma, combined — applied to harmonized KPMP SomaScan datasets (DOI: 10.48698/6VRN-ZE53). Platt sigmoid calibration[16] and Brier Skill Score are the central methodological contributions. A PROGRESS-Plus equity framework is applied in accordance with PLOS Digital Health reporting standards.</w:t>
      </w:r>
    </w:p>
    <w:p>
      <w:pPr>
        <w:spacing w:after="240" w:before="0"/>
      </w:pPr>
      <w:r>
        <w:rPr>
          <w:rFonts w:ascii="Times New Roman" w:cs="Times New Roman" w:eastAsia="Times New Roman" w:hAnsi="Times New Roman"/>
          <w:color w:val="000000"/>
          <w:sz w:val="24"/>
          <w:szCs w:val="24"/>
        </w:rPr>
        <w:t xml:space="preserve"/>
      </w:r>
    </w:p>
    <w:p>
      <w:pPr>
        <w:pStyle w:val="Heading1"/>
        <w:spacing w:after="120" w:before="480"/>
      </w:pPr>
      <w:r>
        <w:rPr>
          <w:rFonts w:ascii="Arial" w:cs="Arial" w:eastAsia="Arial" w:hAnsi="Arial"/>
          <w:b/>
          <w:bCs/>
          <w:caps/>
          <w:color w:val="1F3864"/>
          <w:sz w:val="28"/>
          <w:szCs w:val="28"/>
        </w:rPr>
        <w:t xml:space="preserve">2. Methods</w:t>
      </w:r>
    </w:p>
    <w:p>
      <w:pPr>
        <w:pStyle w:val="Heading2"/>
        <w:spacing w:after="80" w:before="360"/>
      </w:pPr>
      <w:r>
        <w:rPr>
          <w:rFonts w:ascii="Arial" w:cs="Arial" w:eastAsia="Arial" w:hAnsi="Arial"/>
          <w:b/>
          <w:bCs/>
          <w:color w:val="2E75B6"/>
          <w:sz w:val="24"/>
          <w:szCs w:val="24"/>
        </w:rPr>
        <w:t xml:space="preserve">2.1 Data Source and Study Population</w:t>
      </w:r>
    </w:p>
    <w:p>
      <w:pPr>
        <w:spacing w:after="120" w:before="60" w:line="480" w:lineRule="auto"/>
        <w:jc w:val="both"/>
      </w:pPr>
      <w:r>
        <w:rPr>
          <w:rFonts w:ascii="Times New Roman" w:cs="Times New Roman" w:eastAsia="Times New Roman" w:hAnsi="Times New Roman"/>
          <w:color w:val="000000"/>
          <w:sz w:val="24"/>
          <w:szCs w:val="24"/>
        </w:rPr>
        <w:t xml:space="preserve">Two KPMP SomaScan plasma datasets were accessed via open access at https://atlas.kpmp.org: (1) 2022 release: SS-2214310, SomaScan v4.0, ANML-normalised, n=136, accessed April 12, 2026; (2) 2024 release: SS-2495199 v4.1, ANML-SMP-normalised, n=184, accessed April 12, 2026 (DOI: 10.48698/6VRN-ZE53). Both comprise biopsy-confirmed KPMP participants with entirely distinct participant IDs (zero overlap). Combined cohort: n=320. Urine SomaScan (SS-2342467, v4.1, ANML-normalised, n=136) was used for the matched multimodal analysis; all 136 overlap with the 2022 plasma release.</w:t>
      </w:r>
    </w:p>
    <w:p>
      <w:pPr>
        <w:spacing w:after="120" w:before="60" w:line="480" w:lineRule="auto"/>
        <w:jc w:val="both"/>
      </w:pPr>
      <w:r>
        <w:rPr>
          <w:rFonts w:ascii="Times New Roman" w:cs="Times New Roman" w:eastAsia="Times New Roman" w:hAnsi="Times New Roman"/>
          <w:color w:val="000000"/>
          <w:sz w:val="24"/>
          <w:szCs w:val="24"/>
        </w:rPr>
        <w:t xml:space="preserve">ATI status: Primary Adjudicated Category "Acute Tubular Injury" = ATI-positive (n=28 full cohort; n=17 matched). All ATI-positive participants were AKI-enrolled (100%).</w:t>
      </w:r>
    </w:p>
    <w:p>
      <w:pPr>
        <w:pStyle w:val="Heading2"/>
        <w:spacing w:after="80" w:before="360"/>
      </w:pPr>
      <w:r>
        <w:rPr>
          <w:rFonts w:ascii="Arial" w:cs="Arial" w:eastAsia="Arial" w:hAnsi="Arial"/>
          <w:b/>
          <w:bCs/>
          <w:color w:val="2E75B6"/>
          <w:sz w:val="24"/>
          <w:szCs w:val="24"/>
        </w:rPr>
        <w:t xml:space="preserve">2.2 Dataset Harmonization</w:t>
      </w:r>
    </w:p>
    <w:p>
      <w:pPr>
        <w:spacing w:after="120" w:before="60" w:line="480" w:lineRule="auto"/>
        <w:jc w:val="both"/>
      </w:pPr>
      <w:r>
        <w:rPr>
          <w:rFonts w:ascii="Times New Roman" w:cs="Times New Roman" w:eastAsia="Times New Roman" w:hAnsi="Times New Roman"/>
          <w:color w:val="000000"/>
          <w:sz w:val="24"/>
          <w:szCs w:val="24"/>
        </w:rPr>
        <w:t xml:space="preserve">Analysis restricted to 7,481 shared aptamers (plasma) and 7,272 shared aptamers (plasma+urine). Protein abundances log2-transformed (clipped at 1 RFU). Binary batch covariate (0=2022, 1=2024) included in all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7AE60" w:sz="1"/>
              <w:left w:val="single" w:color="27AE60" w:sz="1"/>
              <w:bottom w:val="single" w:color="27AE60" w:sz="1"/>
              <w:right w:val="single" w:color="27AE60" w:sz="1"/>
            </w:tcBorders>
            <w:shd w:fill="27AE60" w:val="clear"/>
            <w:tcMar>
              <w:top w:type="dxa" w:w="60"/>
              <w:left w:type="dxa" w:w="120"/>
              <w:bottom w:type="dxa" w:w="60"/>
              <w:right w:type="dxa" w:w="120"/>
            </w:tcMar>
            <w:vAlign w:val="center"/>
          </w:tcPr>
          <w:p>
            <w:r>
              <w:rPr>
                <w:rFonts w:ascii="Arial" w:cs="Arial" w:eastAsia="Arial" w:hAnsi="Arial"/>
                <w:b/>
                <w:bCs/>
                <w:color w:val="FFFFFF"/>
                <w:sz w:val="18"/>
                <w:szCs w:val="18"/>
              </w:rPr>
              <w:t xml:space="preserve">M1 RESOLVED
RESOLVED</w:t>
            </w:r>
          </w:p>
        </w:tc>
        <w:tc>
          <w:tcPr>
            <w:tcW w:type="dxa" w:w="7960"/>
            <w:tcBorders>
              <w:top w:val="single" w:color="27AE60" w:sz="1"/>
              <w:left w:val="single" w:color="27AE60" w:sz="1"/>
              <w:bottom w:val="single" w:color="27AE60" w:sz="1"/>
              <w:right w:val="single" w:color="27AE60" w:sz="1"/>
            </w:tcBorders>
            <w:shd w:fill="FDFEFE" w:val="clear"/>
            <w:tcMar>
              <w:top w:type="dxa" w:w="60"/>
              <w:left w:type="dxa" w:w="120"/>
              <w:bottom w:type="dxa" w:w="60"/>
              <w:right w:type="dxa" w:w="120"/>
            </w:tcMar>
          </w:tcPr>
          <w:p>
            <w:r>
              <w:rPr>
                <w:rFonts w:ascii="Arial" w:cs="Arial" w:eastAsia="Arial" w:hAnsi="Arial"/>
                <w:color w:val="000000"/>
                <w:sz w:val="20"/>
                <w:szCs w:val="20"/>
              </w:rPr>
              <w:t xml:space="preserve">Empirical batch effect quantification added. PCA on all 7,481 proteins (n=320): PC1 (22.1% variance) and PC2 (6.4% variance) both showed significant batch separation (PC1 p=0.009, PC2 p=0.002 by t-test). Critically, Figure S1 shows ATI-positive participants (red stars) are distributed across both batch clusters, confirming ATI status is not confounded with batch membership. Per-protein variance decomposition across the top-500 selected aptamers: median batch variance proportion 1.9%, mean 2.4%, 90th percentile 4.6%, maximum 16.1%. Zero of 500 proteins exceeded 20% batch variance. These quantitative results confirm that batch effects, while present (as expected from normalisation differences), do not dominate the proteomic signal in the feature-selected subset used for classification.</w:t>
            </w:r>
          </w:p>
        </w:tc>
      </w:tr>
    </w:tbl>
    <w:p>
      <w:pPr>
        <w:spacing w:after="72" w:before="0"/>
      </w:pPr>
      <w:r>
        <w:rPr>
          <w:rFonts w:ascii="Times New Roman" w:cs="Times New Roman" w:eastAsia="Times New Roman" w:hAnsi="Times New Roman"/>
          <w:color w:val="000000"/>
          <w:sz w:val="24"/>
          <w:szCs w:val="24"/>
        </w:rPr>
        <w:t xml:space="preserve"/>
      </w:r>
    </w:p>
    <w:p>
      <w:pPr>
        <w:spacing w:after="120" w:before="60" w:line="480" w:lineRule="auto"/>
        <w:jc w:val="both"/>
      </w:pPr>
      <w:r>
        <w:rPr>
          <w:rFonts w:ascii="Times New Roman" w:cs="Times New Roman" w:eastAsia="Times New Roman" w:hAnsi="Times New Roman"/>
          <w:b/>
          <w:bCs/>
          <w:color w:val="000000"/>
          <w:sz w:val="24"/>
          <w:szCs w:val="24"/>
        </w:rPr>
        <w:t xml:space="preserve">Batch harmonization justification: </w:t>
      </w:r>
      <w:r>
        <w:rPr>
          <w:rFonts w:ascii="Times New Roman" w:cs="Times New Roman" w:eastAsia="Times New Roman" w:hAnsi="Times New Roman"/>
          <w:color w:val="000000"/>
          <w:sz w:val="24"/>
          <w:szCs w:val="24"/>
        </w:rPr>
        <w:t xml:space="preserve">(1) Identical KPMP biopsy protocol and adjudication; (2) same EDTA plasma matrix; (3) 98%+ panel overlap; (4) median batch variance 1.9% in top-500 selected proteins (Figure S1C); (5) ATI status not confounded with batch (Figure S1A). No explicit batch correction applied; batch covariate inclusion in tree-based models is sufficient given the small batch effect magnitude quantified here. Note: ANML-SMP normalisation in the 2024 release includes an additional sample median normalisation step after ANML. This difference is captured by the batch covariate and is consistent with the small observed batch variance proportions.</w:t>
      </w:r>
    </w:p>
    <w:p>
      <w:pPr>
        <w:pStyle w:val="Heading2"/>
        <w:spacing w:after="80" w:before="360"/>
      </w:pPr>
      <w:r>
        <w:rPr>
          <w:rFonts w:ascii="Arial" w:cs="Arial" w:eastAsia="Arial" w:hAnsi="Arial"/>
          <w:b/>
          <w:bCs/>
          <w:color w:val="2E75B6"/>
          <w:sz w:val="24"/>
          <w:szCs w:val="24"/>
        </w:rPr>
        <w:t xml:space="preserve">2.3 Feature Engineering and Model Development</w:t>
      </w:r>
    </w:p>
    <w:p>
      <w:pPr>
        <w:spacing w:after="120" w:before="60" w:line="480" w:lineRule="auto"/>
        <w:jc w:val="both"/>
      </w:pPr>
      <w:r>
        <w:rPr>
          <w:rFonts w:ascii="Times New Roman" w:cs="Times New Roman" w:eastAsia="Times New Roman" w:hAnsi="Times New Roman"/>
          <w:color w:val="000000"/>
          <w:sz w:val="24"/>
          <w:szCs w:val="24"/>
        </w:rPr>
        <w:t xml:space="preserve">Clinical features: baseline eGFR (mL/min/1.73 m², median imputation for missing values), KDIGO Stage (ordinal 1–3; missing coded as 0, reflecting non-AKI enrollment where KDIGO Stage is not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7AE60" w:sz="1"/>
              <w:left w:val="single" w:color="27AE60" w:sz="1"/>
              <w:bottom w:val="single" w:color="27AE60" w:sz="1"/>
              <w:right w:val="single" w:color="27AE60" w:sz="1"/>
            </w:tcBorders>
            <w:shd w:fill="27AE60" w:val="clear"/>
            <w:tcMar>
              <w:top w:type="dxa" w:w="60"/>
              <w:left w:type="dxa" w:w="120"/>
              <w:bottom w:type="dxa" w:w="60"/>
              <w:right w:type="dxa" w:w="120"/>
            </w:tcMar>
            <w:vAlign w:val="center"/>
          </w:tcPr>
          <w:p>
            <w:r>
              <w:rPr>
                <w:rFonts w:ascii="Arial" w:cs="Arial" w:eastAsia="Arial" w:hAnsi="Arial"/>
                <w:b/>
                <w:bCs/>
                <w:color w:val="FFFFFF"/>
                <w:sz w:val="18"/>
                <w:szCs w:val="18"/>
              </w:rPr>
              <w:t xml:space="preserve">Mod1 RESOLVED
RESOLVED</w:t>
            </w:r>
          </w:p>
        </w:tc>
        <w:tc>
          <w:tcPr>
            <w:tcW w:type="dxa" w:w="7960"/>
            <w:tcBorders>
              <w:top w:val="single" w:color="27AE60" w:sz="1"/>
              <w:left w:val="single" w:color="27AE60" w:sz="1"/>
              <w:bottom w:val="single" w:color="27AE60" w:sz="1"/>
              <w:right w:val="single" w:color="27AE60" w:sz="1"/>
            </w:tcBorders>
            <w:shd w:fill="FDFEFE" w:val="clear"/>
            <w:tcMar>
              <w:top w:type="dxa" w:w="60"/>
              <w:left w:type="dxa" w:w="120"/>
              <w:bottom w:type="dxa" w:w="60"/>
              <w:right w:type="dxa" w:w="120"/>
            </w:tcMar>
          </w:tcPr>
          <w:p>
            <w:r>
              <w:rPr>
                <w:rFonts w:ascii="Arial" w:cs="Arial" w:eastAsia="Arial" w:hAnsi="Arial"/>
                <w:color w:val="000000"/>
                <w:sz w:val="20"/>
                <w:szCs w:val="20"/>
              </w:rPr>
              <w:t xml:space="preserve">Missing data proportions now quantified. eGFR: 6/320 (1.9%) missing; zero in ATI-positive subgroup, 6/292 (2.1%) in ATI-negative. Median imputation applied to training fold medians within CV; no leakage. KDIGO Stage: 264/320 (82.5%) classified as missing/not applicable. Of these, 259/259 (100%) are from non-AKI-enrolled participants where KDIGO Stage is definitionally not assigned. The 2 ATI-positive participants with missing KDIGO (7.1%) were AKI-enrolled; their KDIGO=0 coding assigns them to the same class as non-AKI participants, which slightly underestimates their AKI severity. This is documented as a minor limitation.</w:t>
            </w:r>
          </w:p>
        </w:tc>
      </w:tr>
    </w:tbl>
    <w:p>
      <w:pPr>
        <w:spacing w:after="72" w:before="0"/>
      </w:pPr>
      <w:r>
        <w:rPr>
          <w:rFonts w:ascii="Times New Roman" w:cs="Times New Roman" w:eastAsia="Times New Roman" w:hAnsi="Times New Roman"/>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7AE60" w:sz="1"/>
              <w:left w:val="single" w:color="27AE60" w:sz="1"/>
              <w:bottom w:val="single" w:color="27AE60" w:sz="1"/>
              <w:right w:val="single" w:color="27AE60" w:sz="1"/>
            </w:tcBorders>
            <w:shd w:fill="27AE60" w:val="clear"/>
            <w:tcMar>
              <w:top w:type="dxa" w:w="60"/>
              <w:left w:type="dxa" w:w="120"/>
              <w:bottom w:type="dxa" w:w="60"/>
              <w:right w:type="dxa" w:w="120"/>
            </w:tcMar>
            <w:vAlign w:val="center"/>
          </w:tcPr>
          <w:p>
            <w:r>
              <w:rPr>
                <w:rFonts w:ascii="Arial" w:cs="Arial" w:eastAsia="Arial" w:hAnsi="Arial"/>
                <w:b/>
                <w:bCs/>
                <w:color w:val="FFFFFF"/>
                <w:sz w:val="18"/>
                <w:szCs w:val="18"/>
              </w:rPr>
              <w:t xml:space="preserve">mn2 RESOLVED
RESOLVED</w:t>
            </w:r>
          </w:p>
        </w:tc>
        <w:tc>
          <w:tcPr>
            <w:tcW w:type="dxa" w:w="7960"/>
            <w:tcBorders>
              <w:top w:val="single" w:color="27AE60" w:sz="1"/>
              <w:left w:val="single" w:color="27AE60" w:sz="1"/>
              <w:bottom w:val="single" w:color="27AE60" w:sz="1"/>
              <w:right w:val="single" w:color="27AE60" w:sz="1"/>
            </w:tcBorders>
            <w:shd w:fill="FDFEFE" w:val="clear"/>
            <w:tcMar>
              <w:top w:type="dxa" w:w="60"/>
              <w:left w:type="dxa" w:w="120"/>
              <w:bottom w:type="dxa" w:w="60"/>
              <w:right w:type="dxa" w:w="120"/>
            </w:tcMar>
          </w:tcPr>
          <w:p>
            <w:r>
              <w:rPr>
                <w:rFonts w:ascii="Arial" w:cs="Arial" w:eastAsia="Arial" w:hAnsi="Arial"/>
                <w:color w:val="000000"/>
                <w:sz w:val="20"/>
                <w:szCs w:val="20"/>
              </w:rPr>
              <w:t xml:space="preserve">scale_pos_weight clarification: scale_pos_weight=10.4 was fixed at 10.43 (=292/28, full-cohort ratio) across all folds rather than recomputed per fold. This is a deliberate approximation of the overall class imbalance. Training-fold ratios range from approximately 10.2 to 10.7 given the stratified split; the fixed value of 10.4 is representative. Future studies with more variable class distributions should recompute scale_pos_weight per fold.</w:t>
            </w:r>
          </w:p>
        </w:tc>
      </w:tr>
    </w:tbl>
    <w:p>
      <w:pPr>
        <w:spacing w:after="72" w:before="0"/>
      </w:pPr>
      <w:r>
        <w:rPr>
          <w:rFonts w:ascii="Times New Roman" w:cs="Times New Roman" w:eastAsia="Times New Roman" w:hAnsi="Times New Roman"/>
          <w:color w:val="000000"/>
          <w:sz w:val="24"/>
          <w:szCs w:val="24"/>
        </w:rPr>
        <w:t xml:space="preserve"/>
      </w:r>
    </w:p>
    <w:p>
      <w:pPr>
        <w:spacing w:after="120" w:before="60" w:line="480" w:lineRule="auto"/>
        <w:jc w:val="both"/>
      </w:pPr>
      <w:r>
        <w:rPr>
          <w:rFonts w:ascii="Times New Roman" w:cs="Times New Roman" w:eastAsia="Times New Roman" w:hAnsi="Times New Roman"/>
          <w:b/>
          <w:bCs/>
          <w:color w:val="000000"/>
          <w:sz w:val="24"/>
          <w:szCs w:val="24"/>
        </w:rPr>
        <w:t xml:space="preserve">Feature selection (inside-CV): </w:t>
      </w:r>
      <w:r>
        <w:rPr>
          <w:rFonts w:ascii="Times New Roman" w:cs="Times New Roman" w:eastAsia="Times New Roman" w:hAnsi="Times New Roman"/>
          <w:color w:val="000000"/>
          <w:sz w:val="24"/>
          <w:szCs w:val="24"/>
        </w:rPr>
        <w:t xml:space="preserve">Top-500 aptamers by variance selected on training partition only within each fold, preventing test-set leakage. The 500 proteins differ across folds; full-data ranks are reported as descriptive summaries only.</w:t>
      </w:r>
    </w:p>
    <w:p>
      <w:pPr>
        <w:spacing w:after="120" w:before="60" w:line="480" w:lineRule="auto"/>
        <w:jc w:val="both"/>
      </w:pPr>
      <w:r>
        <w:rPr>
          <w:rFonts w:ascii="Times New Roman" w:cs="Times New Roman" w:eastAsia="Times New Roman" w:hAnsi="Times New Roman"/>
          <w:color w:val="000000"/>
          <w:sz w:val="24"/>
          <w:szCs w:val="24"/>
        </w:rPr>
        <w:t xml:space="preserve">Arm 1 (Clinical LR): Logistic regression (L2, C=1.0, class_weight='balanced', max_iter=1000, StandardScaler). Arms 2–4: XGBoost (n_estimators=200, max_depth=3, learning_rate=0.05, subsample=0.8, colsample_bytree=0.1, scale_pos_weight=10.4) with Platt sigmoid calibration[16] via CalibratedClassifierCV(method='sigmoid', cv=3) within each outer fold. Arm 4 (Combined) uses 7,272 shared aptamers stacked from both biofluids.</w:t>
      </w:r>
    </w:p>
    <w:p>
      <w:pPr>
        <w:pStyle w:val="Heading2"/>
        <w:spacing w:after="80" w:before="360"/>
      </w:pPr>
      <w:r>
        <w:rPr>
          <w:rFonts w:ascii="Arial" w:cs="Arial" w:eastAsia="Arial" w:hAnsi="Arial"/>
          <w:b/>
          <w:bCs/>
          <w:color w:val="2E75B6"/>
          <w:sz w:val="24"/>
          <w:szCs w:val="24"/>
        </w:rPr>
        <w:t xml:space="preserve">2.4 Validation and Statistical Framework</w:t>
      </w:r>
    </w:p>
    <w:p>
      <w:pPr>
        <w:spacing w:after="120" w:before="60" w:line="480" w:lineRule="auto"/>
        <w:jc w:val="both"/>
      </w:pPr>
      <w:r>
        <w:rPr>
          <w:rFonts w:ascii="Times New Roman" w:cs="Times New Roman" w:eastAsia="Times New Roman" w:hAnsi="Times New Roman"/>
          <w:color w:val="000000"/>
          <w:sz w:val="24"/>
          <w:szCs w:val="24"/>
        </w:rPr>
        <w:t xml:space="preserve">Stratified 5-fold cross-validation (n_splits=5, shuffle=True, random_state=42). Inside-CV feature selection per fold. Primary analysis: AKI-enrolled subgroup (n=61 full plasma; n=30 matched multimodal). Secondary: full cohort.</w:t>
      </w:r>
    </w:p>
    <w:p>
      <w:pPr>
        <w:spacing w:after="120" w:before="60" w:line="480" w:lineRule="auto"/>
        <w:jc w:val="both"/>
      </w:pPr>
      <w:r>
        <w:rPr>
          <w:rFonts w:ascii="Times New Roman" w:cs="Times New Roman" w:eastAsia="Times New Roman" w:hAnsi="Times New Roman"/>
          <w:color w:val="000000"/>
          <w:sz w:val="24"/>
          <w:szCs w:val="24"/>
        </w:rPr>
        <w:t xml:space="preserve">Metrics: AUROC and AUPRC (co-primary). BSS = 1 − Brier/Brier_naive (BSS&gt;0 = improvement over naive classifier). ECE: 5-bin quantile, qualitative only given n=28 ATI events. Bootstrap 95% CIs: n=2000 resamples (seed=42). AUROC difference: bootstrap, two-sided p-value. BSS difference (uncalibrated vs Platt): bootstrap test, n=2000, two-sided. Permutation: label-shuffle, n=1000.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7AE60" w:sz="1"/>
              <w:left w:val="single" w:color="27AE60" w:sz="1"/>
              <w:bottom w:val="single" w:color="27AE60" w:sz="1"/>
              <w:right w:val="single" w:color="27AE60" w:sz="1"/>
            </w:tcBorders>
            <w:shd w:fill="27AE60" w:val="clear"/>
            <w:tcMar>
              <w:top w:type="dxa" w:w="60"/>
              <w:left w:type="dxa" w:w="120"/>
              <w:bottom w:type="dxa" w:w="60"/>
              <w:right w:type="dxa" w:w="120"/>
            </w:tcMar>
            <w:vAlign w:val="center"/>
          </w:tcPr>
          <w:p>
            <w:r>
              <w:rPr>
                <w:rFonts w:ascii="Arial" w:cs="Arial" w:eastAsia="Arial" w:hAnsi="Arial"/>
                <w:b/>
                <w:bCs/>
                <w:color w:val="FFFFFF"/>
                <w:sz w:val="18"/>
                <w:szCs w:val="18"/>
              </w:rPr>
              <w:t xml:space="preserve">Mod2 RESOLVED
RESOLVED</w:t>
            </w:r>
          </w:p>
        </w:tc>
        <w:tc>
          <w:tcPr>
            <w:tcW w:type="dxa" w:w="7960"/>
            <w:tcBorders>
              <w:top w:val="single" w:color="27AE60" w:sz="1"/>
              <w:left w:val="single" w:color="27AE60" w:sz="1"/>
              <w:bottom w:val="single" w:color="27AE60" w:sz="1"/>
              <w:right w:val="single" w:color="27AE60" w:sz="1"/>
            </w:tcBorders>
            <w:shd w:fill="FDFEFE" w:val="clear"/>
            <w:tcMar>
              <w:top w:type="dxa" w:w="60"/>
              <w:left w:type="dxa" w:w="120"/>
              <w:bottom w:type="dxa" w:w="60"/>
              <w:right w:type="dxa" w:w="120"/>
            </w:tcMar>
          </w:tcPr>
          <w:p>
            <w:r>
              <w:rPr>
                <w:rFonts w:ascii="Arial" w:cs="Arial" w:eastAsia="Arial" w:hAnsi="Arial"/>
                <w:color w:val="000000"/>
                <w:sz w:val="20"/>
                <w:szCs w:val="20"/>
              </w:rPr>
              <w:t xml:space="preserve">BSS bootstrap difference test between uncalibrated and Platt-calibrated XGBoost: observed diff=0.029, bootstrap 95% CI [−0.063, 0.113], p=0.527. The difference is not statistically significant. The comparative conclusion that Platt calibration worsens calibration has been withdrawn from all sections. The finding is now reported descriptively: BSS values are similar across both calibration approaches (0.258 uncalibrated vs 0.230 Platt). ECE-based comparisons are presented as qualitative observations only, consistent with the acknowledged bin-count limitation.</w:t>
            </w:r>
          </w:p>
        </w:tc>
      </w:tr>
    </w:tbl>
    <w:p>
      <w:pPr>
        <w:spacing w:after="72" w:before="0"/>
      </w:pPr>
      <w:r>
        <w:rPr>
          <w:rFonts w:ascii="Times New Roman" w:cs="Times New Roman" w:eastAsia="Times New Roman" w:hAnsi="Times New Roman"/>
          <w:color w:val="000000"/>
          <w:sz w:val="24"/>
          <w:szCs w:val="24"/>
        </w:rPr>
        <w:t xml:space="preserve"/>
      </w:r>
    </w:p>
    <w:p>
      <w:pPr>
        <w:pStyle w:val="Heading2"/>
        <w:spacing w:after="80" w:before="360"/>
      </w:pPr>
      <w:r>
        <w:rPr>
          <w:rFonts w:ascii="Arial" w:cs="Arial" w:eastAsia="Arial" w:hAnsi="Arial"/>
          <w:b/>
          <w:bCs/>
          <w:color w:val="2E75B6"/>
          <w:sz w:val="24"/>
          <w:szCs w:val="24"/>
        </w:rPr>
        <w:t xml:space="preserve">2.5 PROGRESS-Plus Equity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7AE60" w:sz="1"/>
              <w:left w:val="single" w:color="27AE60" w:sz="1"/>
              <w:bottom w:val="single" w:color="27AE60" w:sz="1"/>
              <w:right w:val="single" w:color="27AE60" w:sz="1"/>
            </w:tcBorders>
            <w:shd w:fill="27AE60" w:val="clear"/>
            <w:tcMar>
              <w:top w:type="dxa" w:w="60"/>
              <w:left w:type="dxa" w:w="120"/>
              <w:bottom w:type="dxa" w:w="60"/>
              <w:right w:type="dxa" w:w="120"/>
            </w:tcMar>
            <w:vAlign w:val="center"/>
          </w:tcPr>
          <w:p>
            <w:r>
              <w:rPr>
                <w:rFonts w:ascii="Arial" w:cs="Arial" w:eastAsia="Arial" w:hAnsi="Arial"/>
                <w:b/>
                <w:bCs/>
                <w:color w:val="FFFFFF"/>
                <w:sz w:val="18"/>
                <w:szCs w:val="18"/>
              </w:rPr>
              <w:t xml:space="preserve">M2 RESOLVED
RESOLVED</w:t>
            </w:r>
          </w:p>
        </w:tc>
        <w:tc>
          <w:tcPr>
            <w:tcW w:type="dxa" w:w="7960"/>
            <w:tcBorders>
              <w:top w:val="single" w:color="27AE60" w:sz="1"/>
              <w:left w:val="single" w:color="27AE60" w:sz="1"/>
              <w:bottom w:val="single" w:color="27AE60" w:sz="1"/>
              <w:right w:val="single" w:color="27AE60" w:sz="1"/>
            </w:tcBorders>
            <w:shd w:fill="FDFEFE" w:val="clear"/>
            <w:tcMar>
              <w:top w:type="dxa" w:w="60"/>
              <w:left w:type="dxa" w:w="120"/>
              <w:bottom w:type="dxa" w:w="60"/>
              <w:right w:type="dxa" w:w="120"/>
            </w:tcMar>
          </w:tcPr>
          <w:p>
            <w:r>
              <w:rPr>
                <w:rFonts w:ascii="Arial" w:cs="Arial" w:eastAsia="Arial" w:hAnsi="Arial"/>
                <w:color w:val="000000"/>
                <w:sz w:val="20"/>
                <w:szCs w:val="20"/>
              </w:rPr>
              <w:t xml:space="preserve">PROGRESS-Plus equity framework applied per O'Neill et al. 2014 [17] and PLOS Digital Health reporting requirements.</w:t>
            </w:r>
          </w:p>
        </w:tc>
      </w:tr>
    </w:tbl>
    <w:p>
      <w:pPr>
        <w:spacing w:after="72" w:before="0"/>
      </w:pPr>
      <w:r>
        <w:rPr>
          <w:rFonts w:ascii="Times New Roman" w:cs="Times New Roman" w:eastAsia="Times New Roman" w:hAnsi="Times New Roman"/>
          <w:color w:val="000000"/>
          <w:sz w:val="24"/>
          <w:szCs w:val="24"/>
        </w:rPr>
        <w:t xml:space="preserve"/>
      </w:r>
    </w:p>
    <w:p>
      <w:pPr>
        <w:spacing w:after="120" w:before="60" w:line="480" w:lineRule="auto"/>
        <w:jc w:val="both"/>
      </w:pPr>
      <w:r>
        <w:rPr>
          <w:rFonts w:ascii="Times New Roman" w:cs="Times New Roman" w:eastAsia="Times New Roman" w:hAnsi="Times New Roman"/>
          <w:b/>
          <w:bCs/>
          <w:color w:val="000000"/>
          <w:sz w:val="24"/>
          <w:szCs w:val="24"/>
        </w:rPr>
        <w:t xml:space="preserve">Equity-relevant variables assessed: </w:t>
      </w:r>
      <w:r>
        <w:rPr>
          <w:rFonts w:ascii="Times New Roman" w:cs="Times New Roman" w:eastAsia="Times New Roman" w:hAnsi="Times New Roman"/>
          <w:color w:val="000000"/>
          <w:sz w:val="24"/>
          <w:szCs w:val="24"/>
        </w:rPr>
        <w:t xml:space="preserve">Sex, race/ethnicity from the KPMP open-access clinical data file (20260309_OpenAccessClinicalData.csv).</w:t>
      </w:r>
    </w:p>
    <w:p>
      <w:pPr>
        <w:spacing w:after="120" w:before="60" w:line="480" w:lineRule="auto"/>
        <w:jc w:val="both"/>
      </w:pPr>
      <w:r>
        <w:rPr>
          <w:rFonts w:ascii="Times New Roman" w:cs="Times New Roman" w:eastAsia="Times New Roman" w:hAnsi="Times New Roman"/>
          <w:b/>
          <w:bCs/>
          <w:color w:val="000000"/>
          <w:sz w:val="24"/>
          <w:szCs w:val="24"/>
        </w:rPr>
        <w:t xml:space="preserve">Sample size constraint: </w:t>
      </w:r>
      <w:r>
        <w:rPr>
          <w:rFonts w:ascii="Times New Roman" w:cs="Times New Roman" w:eastAsia="Times New Roman" w:hAnsi="Times New Roman"/>
          <w:color w:val="000000"/>
          <w:sz w:val="24"/>
          <w:szCs w:val="24"/>
        </w:rPr>
        <w:t xml:space="preserve">ATI n=28 (full cohort) and n=17 (multimodal) preclude stratified subgroup performance analysis by sex or race/ethnicity. Minimum expected cell count for a 2×2 stratified AUROC comparison would require ATI n≥20 per subgroup, which is unavailable in this dataset.</w:t>
      </w:r>
    </w:p>
    <w:p>
      <w:pPr>
        <w:spacing w:after="120" w:before="60" w:line="480" w:lineRule="auto"/>
        <w:jc w:val="both"/>
      </w:pPr>
      <w:r>
        <w:rPr>
          <w:rFonts w:ascii="Times New Roman" w:cs="Times New Roman" w:eastAsia="Times New Roman" w:hAnsi="Times New Roman"/>
          <w:b/>
          <w:bCs/>
          <w:color w:val="000000"/>
          <w:sz w:val="24"/>
          <w:szCs w:val="24"/>
        </w:rPr>
        <w:t xml:space="preserve">Equity-relevant findings from data: </w:t>
      </w:r>
      <w:r>
        <w:rPr>
          <w:rFonts w:ascii="Times New Roman" w:cs="Times New Roman" w:eastAsia="Times New Roman" w:hAnsi="Times New Roman"/>
          <w:color w:val="000000"/>
          <w:sz w:val="24"/>
          <w:szCs w:val="24"/>
        </w:rPr>
        <w:t xml:space="preserve">Full cohort racial/ethnic composition: White 182/320 (56.9%), Black or African-American 90/320 (28.1%), Other/Mixed 25/320 (7.8%), Asian 12/320 (3.8%), unknown/declined 11/320 (3.4%). ATI-positive racial/ethnic composition: White 15/28 (53.6%), Black or African-American 11/28 (39.3%), Other 2/28 (7.1%). KPMP deliberately oversampled under-represented populations, producing a cohort with higher Black or African-American representation than the general US CKD population.</w:t>
      </w:r>
    </w:p>
    <w:p>
      <w:pPr>
        <w:spacing w:after="120" w:before="60" w:line="480" w:lineRule="auto"/>
        <w:jc w:val="both"/>
      </w:pPr>
      <w:r>
        <w:rPr>
          <w:rFonts w:ascii="Times New Roman" w:cs="Times New Roman" w:eastAsia="Times New Roman" w:hAnsi="Times New Roman"/>
          <w:b/>
          <w:bCs/>
          <w:color w:val="000000"/>
          <w:sz w:val="24"/>
          <w:szCs w:val="24"/>
        </w:rPr>
        <w:t xml:space="preserve">Equity implications of urine-first recommendation: </w:t>
      </w:r>
      <w:r>
        <w:rPr>
          <w:rFonts w:ascii="Times New Roman" w:cs="Times New Roman" w:eastAsia="Times New Roman" w:hAnsi="Times New Roman"/>
          <w:color w:val="000000"/>
          <w:sz w:val="24"/>
          <w:szCs w:val="24"/>
        </w:rPr>
        <w:t xml:space="preserve">The finding that urine SomaScan outperforms plasma raises practical equity considerations. Urine collection requires participant compliance and timely sample processing; these requirements may be more challenging in resource-limited clinical settings, in patients with urinary catheterisation, or in settings without cold-chain infrastructure. This recommendation should be tested prospectively with attention to sample availability across demographic groups before clinical implementation.</w:t>
      </w:r>
    </w:p>
    <w:p>
      <w:pPr>
        <w:spacing w:after="240" w:before="0"/>
      </w:pPr>
      <w:r>
        <w:rPr>
          <w:rFonts w:ascii="Times New Roman" w:cs="Times New Roman" w:eastAsia="Times New Roman" w:hAnsi="Times New Roman"/>
          <w:color w:val="000000"/>
          <w:sz w:val="24"/>
          <w:szCs w:val="24"/>
        </w:rPr>
        <w:t xml:space="preserve"/>
      </w:r>
    </w:p>
    <w:p>
      <w:pPr>
        <w:pStyle w:val="Heading1"/>
        <w:spacing w:after="120" w:before="480"/>
      </w:pPr>
      <w:r>
        <w:rPr>
          <w:rFonts w:ascii="Arial" w:cs="Arial" w:eastAsia="Arial" w:hAnsi="Arial"/>
          <w:b/>
          <w:bCs/>
          <w:caps/>
          <w:color w:val="1F3864"/>
          <w:sz w:val="28"/>
          <w:szCs w:val="28"/>
        </w:rPr>
        <w:t xml:space="preserve">3. Results</w:t>
      </w:r>
    </w:p>
    <w:p>
      <w:pPr>
        <w:pStyle w:val="Heading2"/>
        <w:spacing w:after="80" w:before="360"/>
      </w:pPr>
      <w:r>
        <w:rPr>
          <w:rFonts w:ascii="Arial" w:cs="Arial" w:eastAsia="Arial" w:hAnsi="Arial"/>
          <w:b/>
          <w:bCs/>
          <w:color w:val="2E75B6"/>
          <w:sz w:val="24"/>
          <w:szCs w:val="24"/>
        </w:rPr>
        <w:t xml:space="preserve">3.1 Cohort Characteristics</w:t>
      </w:r>
    </w:p>
    <w:p>
      <w:pPr>
        <w:spacing w:after="120" w:before="60" w:line="480" w:lineRule="auto"/>
        <w:jc w:val="both"/>
      </w:pPr>
      <w:r>
        <w:rPr>
          <w:rFonts w:ascii="Times New Roman" w:cs="Times New Roman" w:eastAsia="Times New Roman" w:hAnsi="Times New Roman"/>
          <w:color w:val="000000"/>
          <w:sz w:val="24"/>
          <w:szCs w:val="24"/>
        </w:rPr>
        <w:t xml:space="preserve">The harmonized plasma cohort comprised 320 participants (136 from 2022, 184 from 2024). ATI-positive: n=28 (8.8%). The matched multimodal cohort comprised 136 participants with both plasma and urine, of whom 17 were ATI-positive (12.5%). AKI-enrolled subgroup: n=30, ATI-positive n=17 (56.7%). Full characteristics are in Table 1.</w:t>
      </w:r>
    </w:p>
    <w:p>
      <w:pPr>
        <w:spacing w:after="120" w:before="60" w:line="480" w:lineRule="auto"/>
        <w:jc w:val="both"/>
      </w:pPr>
      <w:r>
        <w:rPr>
          <w:rFonts w:ascii="Times New Roman" w:cs="Times New Roman" w:eastAsia="Times New Roman" w:hAnsi="Times New Roman"/>
          <w:b/>
          <w:bCs/>
          <w:color w:val="000000"/>
          <w:sz w:val="24"/>
          <w:szCs w:val="24"/>
        </w:rPr>
        <w:t xml:space="preserve">Race/ethnicity: </w:t>
      </w:r>
      <w:r>
        <w:rPr>
          <w:rFonts w:ascii="Times New Roman" w:cs="Times New Roman" w:eastAsia="Times New Roman" w:hAnsi="Times New Roman"/>
          <w:color w:val="000000"/>
          <w:sz w:val="24"/>
          <w:szCs w:val="24"/>
        </w:rPr>
        <w:t xml:space="preserve">Full cohort: White 56.9%, Black or African-American 28.1%, Other/Mixed 7.8%, Asian 3.8%. ATI-positive subgroup: White 53.6%, Black or African-American 39.3%, Other 7.1%. Sample sizes preclude stratified subgroup performance analysis.</w:t>
      </w:r>
    </w:p>
    <w:p>
      <w:pPr>
        <w:spacing w:after="120" w:before="0"/>
      </w:pPr>
      <w:r>
        <w:rPr>
          <w:rFonts w:ascii="Times New Roman" w:cs="Times New Roman" w:eastAsia="Times New Roman" w:hAnsi="Times New Roman"/>
          <w:color w:val="000000"/>
          <w:sz w:val="24"/>
          <w:szCs w:val="24"/>
        </w:rPr>
        <w:t xml:space="preserve"/>
      </w:r>
    </w:p>
    <w:p>
      <w:pPr>
        <w:spacing w:after="80" w:before="360"/>
      </w:pPr>
      <w:r>
        <w:rPr>
          <w:rFonts w:ascii="Arial" w:cs="Arial" w:eastAsia="Arial" w:hAnsi="Arial"/>
          <w:b/>
          <w:bCs/>
          <w:color w:val="1F3864"/>
          <w:sz w:val="22"/>
          <w:szCs w:val="22"/>
        </w:rPr>
        <w:t xml:space="preserve">Table 1. Cohort Characteristics by ATI Status (n=320 harmonized plasma cohort)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80"/>
        <w:gridCol w:w="1680"/>
        <w:gridCol w:w="1600"/>
        <w:gridCol w:w="800"/>
        <w:gridCol w:w="1000"/>
      </w:tblGrid>
      <w:tr>
        <w:trPr>
          <w:tblHeader/>
        </w:trPr>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Characteristic</w:t>
            </w:r>
          </w:p>
        </w:tc>
        <w:tc>
          <w:tcPr>
            <w:tcW w:type="dxa" w:w="1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ATI+ (n=28)</w:t>
            </w:r>
          </w:p>
        </w:tc>
        <w:tc>
          <w:tcPr>
            <w:tcW w:type="dxa" w:w="1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ATI− (n=292)</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Total (n=320)</w:t>
            </w:r>
          </w:p>
        </w:tc>
        <w:tc>
          <w:tcPr>
            <w:tcW w:type="dxa" w:w="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Missing</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p-value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000000"/>
                <w:sz w:val="18"/>
                <w:szCs w:val="18"/>
              </w:rPr>
              <w:t xml:space="preserve">Batch — 2022</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17 (60.7%)</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119 (40.8%)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136 (42.5%)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0.066</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Batch — 2024</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11 (39.3%)</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173 (59.2%)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184 (57.5%)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000000"/>
                <w:sz w:val="18"/>
                <w:szCs w:val="18"/>
              </w:rPr>
              <w:t xml:space="preserve">Enrollment: AKI</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28 (100.0%)</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33 (11.3%)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61 (19.1%)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&lt;0.001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Enrollment: CKD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 (0.0%)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210 (71.9%)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210 (65.6%)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Enrollment: Reference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 (0.0%)</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32 (11.0%)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32 (10.0%)</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Enrollment: DM-R</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 (0.0%)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17 (5.8%)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17 (5.3%)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Sex: Male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20 (71.4%)</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160 (54.8%)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180 (56.3%)</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0.135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Race: White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15 (53.6%)</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167 (57.2%)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182 (56.9%)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0.418</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Race: Black/African-American</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11 (39.3%)</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79 (27.1%)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90 (28.1%)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Race: Other/Mixed/Asian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(7.1%)</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46 (15.8%)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48 (15.0%)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11 (3.4%)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eGFR Mean ± SD (mL/min/1.73m²)</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81.9 ± 22.4</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62.0 ± 25.9</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63.8 ± 26.2</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 ATI+
6 ATI− (2.1%)</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&lt;0.001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KDIGO Stage 3</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21 (75.0%)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14 (4.8%)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35 (10.9%)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264 (82.5%)†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&lt;0.001</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Diabetes: Yes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 (21.4%)</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183 (62.7%)</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189 (59.1%)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 (1.3%)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&lt;0.001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Hypertension: Yes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11 (39.3%)</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230 (78.8%)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241 (75.3%)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 (0.9%)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&lt;0.001</w:t>
            </w:r>
          </w:p>
        </w:tc>
      </w:tr>
    </w:tbl>
    <w:p>
      <w:pPr>
        <w:spacing w:after="240" w:before="60"/>
      </w:pPr>
      <w:r>
        <w:rPr>
          <w:rFonts w:ascii="Arial" w:cs="Arial" w:eastAsia="Arial" w:hAnsi="Arial"/>
          <w:i/>
          <w:iCs/>
          <w:color w:val="595959"/>
          <w:sz w:val="18"/>
          <w:szCs w:val="18"/>
        </w:rPr>
        <w:t xml:space="preserve">p-values: continuous = two-sample t-test; categorical = chi-squared. † KDIGO Stage missing in 259/259 (100%) non-AKI-enrolled participants (definitionally not assigned) and 5/61 (8.2%) AKI-enrolled participants. Coded as 0 (reflecting non-AKI enrollment) per Methods 2.3. eGFR missing: 0/28 ATI+, 6/292 ATI− (2.1%); median imputation applied within CV training folds. Race: 11 participants declined or did not answer (coded as missing). Sample sizes preclude stratified performance analysis by race/ethnicity or sex.</w:t>
      </w:r>
    </w:p>
    <w:p>
      <w:pPr>
        <w:spacing w:after="240" w:before="0"/>
      </w:pPr>
      <w:r>
        <w:rPr>
          <w:rFonts w:ascii="Times New Roman" w:cs="Times New Roman" w:eastAsia="Times New Roman" w:hAnsi="Times New Roman"/>
          <w:color w:val="000000"/>
          <w:sz w:val="24"/>
          <w:szCs w:val="24"/>
        </w:rPr>
        <w:t xml:space="preserve"/>
      </w:r>
    </w:p>
    <w:p>
      <w:pPr>
        <w:pStyle w:val="Heading2"/>
        <w:spacing w:after="80" w:before="360"/>
      </w:pPr>
      <w:r>
        <w:rPr>
          <w:rFonts w:ascii="Arial" w:cs="Arial" w:eastAsia="Arial" w:hAnsi="Arial"/>
          <w:b/>
          <w:bCs/>
          <w:color w:val="2E75B6"/>
          <w:sz w:val="24"/>
          <w:szCs w:val="24"/>
        </w:rPr>
        <w:t xml:space="preserve">3.2 Primary Analysis: ATI Detection Within AKI</w:t>
      </w:r>
    </w:p>
    <w:p>
      <w:pPr>
        <w:spacing w:after="120" w:before="60" w:line="480" w:lineRule="auto"/>
        <w:jc w:val="both"/>
      </w:pPr>
      <w:r>
        <w:rPr>
          <w:rFonts w:ascii="Times New Roman" w:cs="Times New Roman" w:eastAsia="Times New Roman" w:hAnsi="Times New Roman"/>
          <w:b/>
          <w:bCs/>
          <w:color w:val="000000"/>
          <w:sz w:val="24"/>
          <w:szCs w:val="24"/>
        </w:rPr>
        <w:t xml:space="preserve">This is the principal finding. </w:t>
      </w:r>
      <w:r>
        <w:rPr>
          <w:rFonts w:ascii="Times New Roman" w:cs="Times New Roman" w:eastAsia="Times New Roman" w:hAnsi="Times New Roman"/>
          <w:color w:val="000000"/>
          <w:sz w:val="24"/>
          <w:szCs w:val="24"/>
        </w:rPr>
        <w:t xml:space="preserve">ATI is not detectable from plasma or urine proteomics within AKI at current sample sizes.</w:t>
      </w:r>
    </w:p>
    <w:p>
      <w:pPr>
        <w:spacing w:after="120" w:before="60" w:line="480" w:lineRule="auto"/>
        <w:jc w:val="both"/>
      </w:pPr>
      <w:r>
        <w:rPr>
          <w:rFonts w:ascii="Times New Roman" w:cs="Times New Roman" w:eastAsia="Times New Roman" w:hAnsi="Times New Roman"/>
          <w:color w:val="000000"/>
          <w:sz w:val="24"/>
          <w:szCs w:val="24"/>
        </w:rPr>
        <w:t xml:space="preserve">Full plasma pipeline — AKI-only (n=61, ATI+=28, ATI−=33, prevalence 45.9%): Clinical LR AUROC 0.611 [0.461–0.746], AUPRC 0.609 [0.436–0.767]. XGBoost calibrated AUROC 0.520 [0.370–0.669], AUPRC 0.544 [0.375–0.712]. Both CIs span 0.5. Both BSS negative (Clinical LR −0.507; XGBoost −0.258). AUROC difference p=0.230.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7AE60" w:sz="1"/>
              <w:left w:val="single" w:color="27AE60" w:sz="1"/>
              <w:bottom w:val="single" w:color="27AE60" w:sz="1"/>
              <w:right w:val="single" w:color="27AE60" w:sz="1"/>
            </w:tcBorders>
            <w:shd w:fill="27AE60" w:val="clear"/>
            <w:tcMar>
              <w:top w:type="dxa" w:w="60"/>
              <w:left w:type="dxa" w:w="120"/>
              <w:bottom w:type="dxa" w:w="60"/>
              <w:right w:type="dxa" w:w="120"/>
            </w:tcMar>
            <w:vAlign w:val="center"/>
          </w:tcPr>
          <w:p>
            <w:r>
              <w:rPr>
                <w:rFonts w:ascii="Arial" w:cs="Arial" w:eastAsia="Arial" w:hAnsi="Arial"/>
                <w:b/>
                <w:bCs/>
                <w:color w:val="FFFFFF"/>
                <w:sz w:val="18"/>
                <w:szCs w:val="18"/>
              </w:rPr>
              <w:t xml:space="preserve">mn1 RESOLVED
RESOLVED</w:t>
            </w:r>
          </w:p>
        </w:tc>
        <w:tc>
          <w:tcPr>
            <w:tcW w:type="dxa" w:w="7960"/>
            <w:tcBorders>
              <w:top w:val="single" w:color="27AE60" w:sz="1"/>
              <w:left w:val="single" w:color="27AE60" w:sz="1"/>
              <w:bottom w:val="single" w:color="27AE60" w:sz="1"/>
              <w:right w:val="single" w:color="27AE60" w:sz="1"/>
            </w:tcBorders>
            <w:shd w:fill="FDFEFE" w:val="clear"/>
            <w:tcMar>
              <w:top w:type="dxa" w:w="60"/>
              <w:left w:type="dxa" w:w="120"/>
              <w:bottom w:type="dxa" w:w="60"/>
              <w:right w:type="dxa" w:w="120"/>
            </w:tcMar>
          </w:tcPr>
          <w:p>
            <w:r>
              <w:rPr>
                <w:rFonts w:ascii="Arial" w:cs="Arial" w:eastAsia="Arial" w:hAnsi="Arial"/>
                <w:color w:val="000000"/>
                <w:sz w:val="20"/>
                <w:szCs w:val="20"/>
              </w:rPr>
              <w:t xml:space="preserve">AKI-only AUPRC vs random AUPRC now explicitly compared in text: Random AUPRC for AKI-only subgroup = 0.459 (prevalence = 28/61). Clinical LR AUPRC 0.609 [0.436–0.767] marginally exceeds the random baseline but the CI [0.436–0.767] spans 0.459, so no arm significantly outperforms the random classifier for AUPRC within AKI. XGBoost AUPRC 0.544 [0.375–0.712] also spans the random baseline. Multimodal AKI-only random AUPRC = 0.567; Clinical LR AUPRC 0.693 [0.472–0.870] CI spans 0.567; no arm significantly outperforms random in the multimodal cohort.</w:t>
            </w:r>
          </w:p>
        </w:tc>
      </w:tr>
    </w:tbl>
    <w:p>
      <w:pPr>
        <w:spacing w:after="72" w:before="0"/>
      </w:pPr>
      <w:r>
        <w:rPr>
          <w:rFonts w:ascii="Times New Roman" w:cs="Times New Roman" w:eastAsia="Times New Roman" w:hAnsi="Times New Roman"/>
          <w:color w:val="000000"/>
          <w:sz w:val="24"/>
          <w:szCs w:val="24"/>
        </w:rPr>
        <w:t xml:space="preserve"/>
      </w:r>
    </w:p>
    <w:p>
      <w:pPr>
        <w:spacing w:after="120" w:before="60" w:line="480" w:lineRule="auto"/>
        <w:jc w:val="both"/>
      </w:pPr>
      <w:r>
        <w:rPr>
          <w:rFonts w:ascii="Times New Roman" w:cs="Times New Roman" w:eastAsia="Times New Roman" w:hAnsi="Times New Roman"/>
          <w:color w:val="000000"/>
          <w:sz w:val="24"/>
          <w:szCs w:val="24"/>
        </w:rPr>
        <w:t xml:space="preserve">Multimodal pipeline — AKI-only (n=30, ATI+=17, ATI−=13, prevalence 56.7%): Clinical LR AUROC 0.547 [0.330–0.763], BSS −0.390. Urine XGB AUROC 0.469, BSS −0.436. Plasma XGB AUROC 0.344 [0.139–0.567], BSS −0.490. Combined P+U AUROC 0.526, BSS −0.302. All CIs span chance. This independently replicates the null result.</w:t>
      </w:r>
    </w:p>
    <w:p>
      <w:pPr>
        <w:pStyle w:val="Heading2"/>
        <w:spacing w:after="80" w:before="360"/>
      </w:pPr>
      <w:r>
        <w:rPr>
          <w:rFonts w:ascii="Arial" w:cs="Arial" w:eastAsia="Arial" w:hAnsi="Arial"/>
          <w:b/>
          <w:bCs/>
          <w:color w:val="2E75B6"/>
          <w:sz w:val="24"/>
          <w:szCs w:val="24"/>
        </w:rPr>
        <w:t xml:space="preserve">3.3 Secondary Analysis: Full-Cohort Performance</w:t>
      </w:r>
    </w:p>
    <w:p>
      <w:pPr>
        <w:spacing w:after="120" w:before="60" w:line="480" w:lineRule="auto"/>
        <w:jc w:val="both"/>
      </w:pPr>
      <w:r>
        <w:rPr>
          <w:rFonts w:ascii="Times New Roman" w:cs="Times New Roman" w:eastAsia="Times New Roman" w:hAnsi="Times New Roman"/>
          <w:color w:val="000000"/>
          <w:sz w:val="24"/>
          <w:szCs w:val="24"/>
        </w:rPr>
        <w:t xml:space="preserve">Full plasma cohort (n=320): Clinical LR AUROC 0.939 [0.900–0.969], BSS −0.029, ECE 0.135. XGBoost uncalibrated AUROC 0.925, BSS 0.258, ECE 0.018. XGBoost+Platt AUROC 0.896 [0.837–0.947], BSS 0.230, ECE 0.036. AUROC difference p=0.115. Permutation p=0.001.</w:t>
      </w:r>
    </w:p>
    <w:p>
      <w:pPr>
        <w:spacing w:after="120" w:before="60" w:line="480" w:lineRule="auto"/>
        <w:jc w:val="both"/>
      </w:pPr>
      <w:r>
        <w:rPr>
          <w:rFonts w:ascii="Times New Roman" w:cs="Times New Roman" w:eastAsia="Times New Roman" w:hAnsi="Times New Roman"/>
          <w:color w:val="000000"/>
          <w:sz w:val="24"/>
          <w:szCs w:val="24"/>
        </w:rPr>
        <w:t xml:space="preserve">Multimodal full-cohort (n=136): Clinical LR AUROC 0.950 [0.909–0.981], BSS 0.287. Urine XGB AUROC 0.906 [0.829–0.966], BSS 0.252, ECE 0.072. Plasma XGB AUROC 0.889 [0.804–0.956], BSS 0.205, ECE 0.065. Combined P+U AUROC 0.931 [0.878–0.972], BSS 0.314, ECE 0.061. All permutation p=0.001.</w:t>
      </w:r>
    </w:p>
    <w:p>
      <w:pPr>
        <w:spacing w:after="120" w:before="0"/>
      </w:pPr>
      <w:r>
        <w:rPr>
          <w:rFonts w:ascii="Times New Roman" w:cs="Times New Roman" w:eastAsia="Times New Roman" w:hAnsi="Times New Roman"/>
          <w:color w:val="000000"/>
          <w:sz w:val="24"/>
          <w:szCs w:val="24"/>
        </w:rPr>
        <w:t xml:space="preserve"/>
      </w:r>
    </w:p>
    <w:p>
      <w:pPr>
        <w:spacing w:after="80" w:before="360"/>
      </w:pPr>
      <w:r>
        <w:rPr>
          <w:rFonts w:ascii="Arial" w:cs="Arial" w:eastAsia="Arial" w:hAnsi="Arial"/>
          <w:b/>
          <w:bCs/>
          <w:color w:val="1F3864"/>
          <w:sz w:val="22"/>
          <w:szCs w:val="22"/>
        </w:rPr>
        <w:t xml:space="preserve">Table 2. Model Performance — Stratified 5-Fold Cross-Validation (All Analyses)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660"/>
        <w:gridCol w:w="1500"/>
        <w:gridCol w:w="700"/>
        <w:gridCol w:w="700"/>
        <w:gridCol w:w="700"/>
      </w:tblGrid>
      <w:tr>
        <w:trPr>
          <w:tblHeader/>
        </w:trPr>
        <w:tc>
          <w:tcPr>
            <w:tcW w:type="dxa" w:w="1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Analysis</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Model</w:t>
            </w:r>
          </w:p>
        </w:tc>
        <w:tc>
          <w:tcPr>
            <w:tcW w:type="dxa" w:w="16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AUROC (95% CI)</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AUPRC (95% CI)</w:t>
            </w:r>
          </w:p>
        </w:tc>
        <w:tc>
          <w:tcPr>
            <w:tcW w:type="dxa" w:w="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Brier</w:t>
            </w:r>
          </w:p>
        </w:tc>
        <w:tc>
          <w:tcPr>
            <w:tcW w:type="dxa" w:w="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BSS</w:t>
            </w:r>
          </w:p>
        </w:tc>
        <w:tc>
          <w:tcPr>
            <w:tcW w:type="dxa" w:w="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ECE</w:t>
            </w:r>
          </w:p>
        </w:tc>
      </w:tr>
      <w:tr>
        <w:tc>
          <w:tcPr>
            <w:tcW w:type="dxa" w:w="1700"/>
            <w:vMerge w:val="restart"/>
            <w:tcBorders>
              <w:top w:val="single" w:color="1F3864" w:sz="1"/>
              <w:left w:val="single" w:color="1F3864" w:sz="1"/>
              <w:bottom w:val="single" w:color="1F3864" w:sz="1"/>
              <w:right w:val="single" w:color="1F3864" w:sz="1"/>
            </w:tcBorders>
            <w:shd w:fill="E8F4F8" w:val="clear"/>
            <w:tcMar>
              <w:top w:type="dxa" w:w="80"/>
              <w:left w:type="dxa" w:w="120"/>
              <w:bottom w:type="dxa" w:w="80"/>
              <w:right w:type="dxa" w:w="120"/>
            </w:tcMar>
          </w:tcPr>
          <w:p>
            <w:r>
              <w:rPr>
                <w:rFonts w:ascii="Arial" w:cs="Arial" w:eastAsia="Arial" w:hAnsi="Arial"/>
                <w:b/>
                <w:bCs/>
                <w:color w:val="1F3864"/>
                <w:sz w:val="18"/>
                <w:szCs w:val="18"/>
              </w:rPr>
              <w:t xml:space="preserve">PRIMARY
AKI-only
Plasma
(n=61, ATI+=28)</w:t>
            </w:r>
          </w:p>
        </w:tc>
        <w:tc>
          <w:tcPr>
            <w:tcW w:type="dxa" w:w="1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Clinical LR</w:t>
            </w:r>
          </w:p>
        </w:tc>
        <w:tc>
          <w:tcPr>
            <w:tcW w:type="dxa" w:w="16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0.611 [0.461–0.746]</w:t>
            </w:r>
          </w:p>
        </w:tc>
        <w:tc>
          <w:tcPr>
            <w:tcW w:type="dxa" w:w="1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0.609 [0.436–0.767]</w:t>
            </w:r>
          </w:p>
        </w:tc>
        <w:tc>
          <w:tcPr>
            <w:tcW w:type="dxa" w:w="7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0.374</w:t>
            </w:r>
          </w:p>
        </w:tc>
        <w:tc>
          <w:tcPr>
            <w:tcW w:type="dxa" w:w="7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−0.507</w:t>
            </w:r>
          </w:p>
        </w:tc>
        <w:tc>
          <w:tcPr>
            <w:tcW w:type="dxa" w:w="7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r>
      <w:tr>
        <w:tc>
          <w:tcPr>
            <w:vMerge w:val="continue"/>
            <w:tcBorders>
              <w:top w:val="single" w:color="1F3864" w:sz="1"/>
              <w:left w:val="single" w:color="1F3864" w:sz="1"/>
              <w:bottom w:val="single" w:color="1F3864" w:sz="1"/>
              <w:right w:val="single" w:color="1F3864" w:sz="1"/>
            </w:tcBorders>
          </w:tcP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XGBoost+Platt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0.520 [0.370–0.669]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0.544 [0.375–0.712]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0.312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−0.258</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r>
      <w:tr>
        <w:tc>
          <w:tcPr>
            <w:vMerge w:val="continue"/>
            <w:tcBorders>
              <w:top w:val="single" w:color="1F3864" w:sz="1"/>
              <w:left w:val="single" w:color="1F3864" w:sz="1"/>
              <w:bottom w:val="single" w:color="1F3864" w:sz="1"/>
              <w:right w:val="single" w:color="1F3864" w:sz="1"/>
            </w:tcBorders>
          </w:tcP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AUROC diff p</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p=0.230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r>
      <w:tr>
        <w:tc>
          <w:tcPr>
            <w:tcW w:type="dxa" w:w="1700"/>
            <w:vMerge w:val="restart"/>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95959"/>
                <w:sz w:val="18"/>
                <w:szCs w:val="18"/>
              </w:rPr>
              <w:t xml:space="preserve">SECONDARY
Full Plasma
(n=320, ATI+=28)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Clinical LR</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0.939 [0.900–0.969]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0.588 [0.407–0.750]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0.082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−0.029</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0.135</w:t>
            </w:r>
          </w:p>
        </w:tc>
      </w:tr>
      <w:tr>
        <w:tc>
          <w:tcPr>
            <w:vMerge w:val="continue"/>
            <w:tcBorders>
              <w:top w:val="single" w:color="CCCCCC" w:sz="1"/>
              <w:left w:val="single" w:color="CCCCCC" w:sz="1"/>
              <w:bottom w:val="single" w:color="CCCCCC" w:sz="1"/>
              <w:right w:val="single" w:color="CCCCCC" w:sz="1"/>
            </w:tcBorders>
          </w:tcP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XGBoost uncal</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0.925 [0.887–0.957]</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0.493 [0.319–0.681]</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0.059</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0.258</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0.018</w:t>
            </w:r>
          </w:p>
        </w:tc>
      </w:tr>
      <w:tr>
        <w:tc>
          <w:tcPr>
            <w:vMerge w:val="continue"/>
            <w:tcBorders>
              <w:top w:val="single" w:color="CCCCCC" w:sz="1"/>
              <w:left w:val="single" w:color="CCCCCC" w:sz="1"/>
              <w:bottom w:val="single" w:color="CCCCCC" w:sz="1"/>
              <w:right w:val="single" w:color="CCCCCC" w:sz="1"/>
            </w:tcBorders>
          </w:tcP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XGBoost+Platt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0.896 [0.837–0.947]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0.493 [0.310–0.665]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0.061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0.230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0.036</w:t>
            </w:r>
          </w:p>
        </w:tc>
      </w:tr>
      <w:tr>
        <w:tc>
          <w:tcPr>
            <w:vMerge w:val="continue"/>
            <w:tcBorders>
              <w:top w:val="single" w:color="CCCCCC" w:sz="1"/>
              <w:left w:val="single" w:color="CCCCCC" w:sz="1"/>
              <w:bottom w:val="single" w:color="CCCCCC" w:sz="1"/>
              <w:right w:val="single" w:color="CCCCCC" w:sz="1"/>
            </w:tcBorders>
          </w:tcP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AUROC diff / Perm p</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p=0.115 / p=0.001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r>
      <w:tr>
        <w:tc>
          <w:tcPr>
            <w:tcW w:type="dxa" w:w="1700"/>
            <w:vMerge w:val="restart"/>
            <w:tcBorders>
              <w:top w:val="single" w:color="1F3864" w:sz="1"/>
              <w:left w:val="single" w:color="1F3864" w:sz="1"/>
              <w:bottom w:val="single" w:color="1F3864" w:sz="1"/>
              <w:right w:val="single" w:color="1F3864" w:sz="1"/>
            </w:tcBorders>
            <w:shd w:fill="E8F8F0" w:val="clear"/>
            <w:tcMar>
              <w:top w:type="dxa" w:w="80"/>
              <w:left w:type="dxa" w:w="120"/>
              <w:bottom w:type="dxa" w:w="80"/>
              <w:right w:type="dxa" w:w="120"/>
            </w:tcMar>
          </w:tcPr>
          <w:p>
            <w:r>
              <w:rPr>
                <w:rFonts w:ascii="Arial" w:cs="Arial" w:eastAsia="Arial" w:hAnsi="Arial"/>
                <w:b/>
                <w:bCs/>
                <w:color w:val="1F3864"/>
                <w:sz w:val="18"/>
                <w:szCs w:val="18"/>
              </w:rPr>
              <w:t xml:space="preserve">PRIMARY
AKI-only
Multimodal
(n=30, ATI+=17)</w:t>
            </w:r>
          </w:p>
        </w:tc>
        <w:tc>
          <w:tcPr>
            <w:tcW w:type="dxa" w:w="15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Clinical LR</w:t>
            </w:r>
          </w:p>
        </w:tc>
        <w:tc>
          <w:tcPr>
            <w:tcW w:type="dxa" w:w="166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0.547 [0.330–0.763]</w:t>
            </w:r>
          </w:p>
        </w:tc>
        <w:tc>
          <w:tcPr>
            <w:tcW w:type="dxa" w:w="15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0.693 [0.472–0.870]</w:t>
            </w:r>
          </w:p>
        </w:tc>
        <w:tc>
          <w:tcPr>
            <w:tcW w:type="dxa" w:w="7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0.311</w:t>
            </w:r>
          </w:p>
        </w:tc>
        <w:tc>
          <w:tcPr>
            <w:tcW w:type="dxa" w:w="7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−0.390</w:t>
            </w:r>
          </w:p>
        </w:tc>
        <w:tc>
          <w:tcPr>
            <w:tcW w:type="dxa" w:w="7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r>
      <w:tr>
        <w:tc>
          <w:tcPr>
            <w:vMerge w:val="continue"/>
            <w:tcBorders>
              <w:top w:val="single" w:color="1F3864" w:sz="1"/>
              <w:left w:val="single" w:color="1F3864" w:sz="1"/>
              <w:bottom w:val="single" w:color="1F3864" w:sz="1"/>
              <w:right w:val="single" w:color="1F3864" w:sz="1"/>
            </w:tcBorders>
          </w:tcP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Urine XGB+Platt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0.469 [0.241–0.709]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0.558 [0.361–0.784]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0.329</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−0.436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r>
      <w:tr>
        <w:tc>
          <w:tcPr>
            <w:vMerge w:val="continue"/>
            <w:tcBorders>
              <w:top w:val="single" w:color="1F3864" w:sz="1"/>
              <w:left w:val="single" w:color="1F3864" w:sz="1"/>
              <w:bottom w:val="single" w:color="1F3864" w:sz="1"/>
              <w:right w:val="single" w:color="1F3864" w:sz="1"/>
            </w:tcBorders>
          </w:tcP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Plasma XGB+Platt</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0.344 [0.139–0.567]</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0.501 [0.316–0.706]</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0.339</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−0.490</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r>
      <w:tr>
        <w:tc>
          <w:tcPr>
            <w:vMerge w:val="continue"/>
            <w:tcBorders>
              <w:top w:val="single" w:color="1F3864" w:sz="1"/>
              <w:left w:val="single" w:color="1F3864" w:sz="1"/>
              <w:bottom w:val="single" w:color="1F3864" w:sz="1"/>
              <w:right w:val="single" w:color="1F3864" w:sz="1"/>
            </w:tcBorders>
          </w:tcP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Combined P+U</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0.526 [0.300–0.750]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0.596 [0.384–0.832]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0.293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−0.302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r>
      <w:tr>
        <w:tc>
          <w:tcPr>
            <w:vMerge w:val="continue"/>
            <w:tcBorders>
              <w:top w:val="single" w:color="1F3864" w:sz="1"/>
              <w:left w:val="single" w:color="1F3864" w:sz="1"/>
              <w:bottom w:val="single" w:color="1F3864" w:sz="1"/>
              <w:right w:val="single" w:color="1F3864" w:sz="1"/>
            </w:tcBorders>
          </w:tcP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Perm p all arms</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p=0.001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r>
      <w:tr>
        <w:tc>
          <w:tcPr>
            <w:tcW w:type="dxa" w:w="1700"/>
            <w:vMerge w:val="restart"/>
            <w:tcBorders>
              <w:top w:val="single" w:color="6C3483" w:sz="1"/>
              <w:left w:val="single" w:color="6C3483" w:sz="1"/>
              <w:bottom w:val="single" w:color="6C3483" w:sz="1"/>
              <w:right w:val="single" w:color="6C3483" w:sz="1"/>
            </w:tcBorders>
            <w:shd w:fill="F5EEF8" w:val="clear"/>
            <w:tcMar>
              <w:top w:type="dxa" w:w="80"/>
              <w:left w:type="dxa" w:w="120"/>
              <w:bottom w:type="dxa" w:w="80"/>
              <w:right w:type="dxa" w:w="120"/>
            </w:tcMar>
          </w:tcPr>
          <w:p>
            <w:r>
              <w:rPr>
                <w:rFonts w:ascii="Arial" w:cs="Arial" w:eastAsia="Arial" w:hAnsi="Arial"/>
                <w:b/>
                <w:bCs/>
                <w:color w:val="6C3483"/>
                <w:sz w:val="18"/>
                <w:szCs w:val="18"/>
              </w:rPr>
              <w:t xml:space="preserve">SECONDARY
Full Cohort
Multimodal
(n=136, ATI+=17) [NEW]</w:t>
            </w:r>
          </w:p>
        </w:tc>
        <w:tc>
          <w:tcPr>
            <w:tcW w:type="dxa" w:w="15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Clinical LR</w:t>
            </w:r>
          </w:p>
        </w:tc>
        <w:tc>
          <w:tcPr>
            <w:tcW w:type="dxa" w:w="16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0.950 [0.909–0.981]</w:t>
            </w:r>
          </w:p>
        </w:tc>
        <w:tc>
          <w:tcPr>
            <w:tcW w:type="dxa" w:w="15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0.692 [0.469–0.871]</w:t>
            </w:r>
          </w:p>
        </w:tc>
        <w:tc>
          <w:tcPr>
            <w:tcW w:type="dxa" w:w="7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0.078</w:t>
            </w:r>
          </w:p>
        </w:tc>
        <w:tc>
          <w:tcPr>
            <w:tcW w:type="dxa" w:w="7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0.287</w:t>
            </w:r>
          </w:p>
        </w:tc>
        <w:tc>
          <w:tcPr>
            <w:tcW w:type="dxa" w:w="7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0.101</w:t>
            </w:r>
          </w:p>
        </w:tc>
      </w:tr>
      <w:tr>
        <w:tc>
          <w:tcPr>
            <w:vMerge w:val="continue"/>
            <w:tcBorders>
              <w:top w:val="single" w:color="6C3483" w:sz="1"/>
              <w:left w:val="single" w:color="6C3483" w:sz="1"/>
              <w:bottom w:val="single" w:color="6C3483" w:sz="1"/>
              <w:right w:val="single" w:color="6C3483" w:sz="1"/>
            </w:tcBorders>
          </w:tcP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Urine XGB+Platt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0.906 [0.829–0.966]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0.518 [0.317–0.745]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0.082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0.252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0.072</w:t>
            </w:r>
          </w:p>
        </w:tc>
      </w:tr>
      <w:tr>
        <w:tc>
          <w:tcPr>
            <w:vMerge w:val="continue"/>
            <w:tcBorders>
              <w:top w:val="single" w:color="6C3483" w:sz="1"/>
              <w:left w:val="single" w:color="6C3483" w:sz="1"/>
              <w:bottom w:val="single" w:color="6C3483" w:sz="1"/>
              <w:right w:val="single" w:color="6C3483" w:sz="1"/>
            </w:tcBorders>
          </w:tcP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Plasma XGB+Platt</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0.889 [0.804–0.956]</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0.457 [0.281–0.653]</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0.087</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0.205</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0.065</w:t>
            </w:r>
          </w:p>
        </w:tc>
      </w:tr>
      <w:tr>
        <w:tc>
          <w:tcPr>
            <w:vMerge w:val="continue"/>
            <w:tcBorders>
              <w:top w:val="single" w:color="6C3483" w:sz="1"/>
              <w:left w:val="single" w:color="6C3483" w:sz="1"/>
              <w:bottom w:val="single" w:color="6C3483" w:sz="1"/>
              <w:right w:val="single" w:color="6C3483" w:sz="1"/>
            </w:tcBorders>
          </w:tcP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Combined P+U</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0.931 [0.878–0.972]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0.564 [0.353–0.793]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0.075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0.314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0.061</w:t>
            </w:r>
          </w:p>
        </w:tc>
      </w:tr>
      <w:tr>
        <w:tc>
          <w:tcPr>
            <w:vMerge w:val="continue"/>
            <w:tcBorders>
              <w:top w:val="single" w:color="6C3483" w:sz="1"/>
              <w:left w:val="single" w:color="6C3483" w:sz="1"/>
              <w:bottom w:val="single" w:color="6C3483" w:sz="1"/>
              <w:right w:val="single" w:color="6C3483" w:sz="1"/>
            </w:tcBorders>
          </w:tcP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Perm p all arms</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p=0.001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r>
    </w:tbl>
    <w:p>
      <w:pPr>
        <w:spacing w:after="240" w:before="60"/>
      </w:pPr>
      <w:r>
        <w:rPr>
          <w:rFonts w:ascii="Arial" w:cs="Arial" w:eastAsia="Arial" w:hAnsi="Arial"/>
          <w:i/>
          <w:iCs/>
          <w:color w:val="595959"/>
          <w:sz w:val="18"/>
          <w:szCs w:val="18"/>
        </w:rPr>
        <w:t xml:space="preserve">95% CIs from bootstrap (n=2000). BSS: Brier Skill Score vs naive baseline (prevalence×(1−prevalence)). BSS&gt;0 = improvement over naive. ECE: 5-bin quantile, qualitative only. Random AUPRC baselines: full plasma 0.088, AKI-only plasma 0.459, multimodal AKI-only 0.567, multimodal full cohort 0.125. Permutation: label-shuffle on fixed OOF predictions, n=1000. BSS difference (uncal vs Platt): p=0.527, 95% CI [−0.063, 0.113] — not significant. [NEW] = multimodal full-cohort block added in revision per reviewer.</w:t>
      </w:r>
    </w:p>
    <w:p>
      <w:pPr>
        <w:spacing w:after="240" w:before="0"/>
      </w:pPr>
      <w:r>
        <w:rPr>
          <w:rFonts w:ascii="Times New Roman" w:cs="Times New Roman" w:eastAsia="Times New Roman" w:hAnsi="Times New Roman"/>
          <w:color w:val="000000"/>
          <w:sz w:val="24"/>
          <w:szCs w:val="24"/>
        </w:rPr>
        <w:t xml:space="preserve"/>
      </w:r>
    </w:p>
    <w:p>
      <w:pPr>
        <w:pStyle w:val="Heading2"/>
        <w:spacing w:after="80" w:before="360"/>
      </w:pPr>
      <w:r>
        <w:rPr>
          <w:rFonts w:ascii="Arial" w:cs="Arial" w:eastAsia="Arial" w:hAnsi="Arial"/>
          <w:b/>
          <w:bCs/>
          <w:color w:val="2E75B6"/>
          <w:sz w:val="24"/>
          <w:szCs w:val="24"/>
        </w:rPr>
        <w:t xml:space="preserve">3.4 Probability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7AE60" w:sz="1"/>
              <w:left w:val="single" w:color="27AE60" w:sz="1"/>
              <w:bottom w:val="single" w:color="27AE60" w:sz="1"/>
              <w:right w:val="single" w:color="27AE60" w:sz="1"/>
            </w:tcBorders>
            <w:shd w:fill="27AE60" w:val="clear"/>
            <w:tcMar>
              <w:top w:type="dxa" w:w="60"/>
              <w:left w:type="dxa" w:w="120"/>
              <w:bottom w:type="dxa" w:w="60"/>
              <w:right w:type="dxa" w:w="120"/>
            </w:tcMar>
            <w:vAlign w:val="center"/>
          </w:tcPr>
          <w:p>
            <w:r>
              <w:rPr>
                <w:rFonts w:ascii="Arial" w:cs="Arial" w:eastAsia="Arial" w:hAnsi="Arial"/>
                <w:b/>
                <w:bCs/>
                <w:color w:val="FFFFFF"/>
                <w:sz w:val="18"/>
                <w:szCs w:val="18"/>
              </w:rPr>
              <w:t xml:space="preserve">Mod2 RESOLVED
RESOLVED</w:t>
            </w:r>
          </w:p>
        </w:tc>
        <w:tc>
          <w:tcPr>
            <w:tcW w:type="dxa" w:w="7960"/>
            <w:tcBorders>
              <w:top w:val="single" w:color="27AE60" w:sz="1"/>
              <w:left w:val="single" w:color="27AE60" w:sz="1"/>
              <w:bottom w:val="single" w:color="27AE60" w:sz="1"/>
              <w:right w:val="single" w:color="27AE60" w:sz="1"/>
            </w:tcBorders>
            <w:shd w:fill="FDFEFE" w:val="clear"/>
            <w:tcMar>
              <w:top w:type="dxa" w:w="60"/>
              <w:left w:type="dxa" w:w="120"/>
              <w:bottom w:type="dxa" w:w="60"/>
              <w:right w:type="dxa" w:w="120"/>
            </w:tcMar>
          </w:tcPr>
          <w:p>
            <w:r>
              <w:rPr>
                <w:rFonts w:ascii="Arial" w:cs="Arial" w:eastAsia="Arial" w:hAnsi="Arial"/>
                <w:color w:val="000000"/>
                <w:sz w:val="20"/>
                <w:szCs w:val="20"/>
              </w:rPr>
              <w:t xml:space="preserve">Comparative ECE conclusion withdrawn. BSS values for uncalibrated (0.258) and Platt-calibrated (0.230) XGBoost are similar; bootstrap difference test: diff=0.029, 95% CI [−0.063, 0.113], p=0.527. The difference is not statistically significant. ECE values (0.018 uncal vs 0.036 Platt) are presented as qualitative observations only.</w:t>
            </w:r>
          </w:p>
        </w:tc>
      </w:tr>
    </w:tbl>
    <w:p>
      <w:pPr>
        <w:spacing w:after="72" w:before="0"/>
      </w:pPr>
      <w:r>
        <w:rPr>
          <w:rFonts w:ascii="Times New Roman" w:cs="Times New Roman" w:eastAsia="Times New Roman" w:hAnsi="Times New Roman"/>
          <w:color w:val="000000"/>
          <w:sz w:val="24"/>
          <w:szCs w:val="24"/>
        </w:rPr>
        <w:t xml:space="preserve"/>
      </w:r>
    </w:p>
    <w:p>
      <w:pPr>
        <w:spacing w:after="120" w:before="60" w:line="480" w:lineRule="auto"/>
        <w:jc w:val="both"/>
      </w:pPr>
      <w:r>
        <w:rPr>
          <w:rFonts w:ascii="Times New Roman" w:cs="Times New Roman" w:eastAsia="Times New Roman" w:hAnsi="Times New Roman"/>
          <w:color w:val="000000"/>
          <w:sz w:val="24"/>
          <w:szCs w:val="24"/>
        </w:rPr>
        <w:t xml:space="preserve">XGBoost uncalibrated ECE 0.018, BSS 0.258. XGBoost Platt-calibrated ECE 0.036, BSS 0.230. Clinical LR ECE 0.135, BSS −0.029. The BSS difference between uncalibrated and Platt-calibrated XGBoost is 0.029, with a 95% CI that spans zero (p=0.527), and should be interpreted as a descriptive observation rather than a conclusion that Platt calibration worsens performance. ECE values are qualitative given 5–6 ATI-positive cases per calibration curve.</w:t>
      </w:r>
    </w:p>
    <w:p>
      <w:pPr>
        <w:spacing w:after="120" w:before="60" w:line="480" w:lineRule="auto"/>
        <w:jc w:val="both"/>
      </w:pPr>
      <w:r>
        <w:rPr>
          <w:rFonts w:ascii="Times New Roman" w:cs="Times New Roman" w:eastAsia="Times New Roman" w:hAnsi="Times New Roman"/>
          <w:color w:val="000000"/>
          <w:sz w:val="24"/>
          <w:szCs w:val="24"/>
        </w:rPr>
        <w:t xml:space="preserve">The principal calibration finding remains: Clinical LR AUROC 0.939 and BSS −0.029 on the same full-cohort data demonstrate that high AUROC does not imply probability skill. This distinction is the central methodological contribution of the paper.</w:t>
      </w:r>
    </w:p>
    <w:p>
      <w:pPr>
        <w:pStyle w:val="Heading2"/>
        <w:spacing w:after="80" w:before="360"/>
      </w:pPr>
      <w:r>
        <w:rPr>
          <w:rFonts w:ascii="Arial" w:cs="Arial" w:eastAsia="Arial" w:hAnsi="Arial"/>
          <w:b/>
          <w:bCs/>
          <w:color w:val="2E75B6"/>
          <w:sz w:val="24"/>
          <w:szCs w:val="24"/>
        </w:rPr>
        <w:t xml:space="preserve">3.5 Feature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7AE60" w:sz="1"/>
              <w:left w:val="single" w:color="27AE60" w:sz="1"/>
              <w:bottom w:val="single" w:color="27AE60" w:sz="1"/>
              <w:right w:val="single" w:color="27AE60" w:sz="1"/>
            </w:tcBorders>
            <w:shd w:fill="27AE60" w:val="clear"/>
            <w:tcMar>
              <w:top w:type="dxa" w:w="60"/>
              <w:left w:type="dxa" w:w="120"/>
              <w:bottom w:type="dxa" w:w="60"/>
              <w:right w:type="dxa" w:w="120"/>
            </w:tcMar>
            <w:vAlign w:val="center"/>
          </w:tcPr>
          <w:p>
            <w:r>
              <w:rPr>
                <w:rFonts w:ascii="Arial" w:cs="Arial" w:eastAsia="Arial" w:hAnsi="Arial"/>
                <w:b/>
                <w:bCs/>
                <w:color w:val="FFFFFF"/>
                <w:sz w:val="18"/>
                <w:szCs w:val="18"/>
              </w:rPr>
              <w:t xml:space="preserve">mn4 RESOLVED
RESOLVED</w:t>
            </w:r>
          </w:p>
        </w:tc>
        <w:tc>
          <w:tcPr>
            <w:tcW w:type="dxa" w:w="7960"/>
            <w:tcBorders>
              <w:top w:val="single" w:color="27AE60" w:sz="1"/>
              <w:left w:val="single" w:color="27AE60" w:sz="1"/>
              <w:bottom w:val="single" w:color="27AE60" w:sz="1"/>
              <w:right w:val="single" w:color="27AE60" w:sz="1"/>
            </w:tcBorders>
            <w:shd w:fill="FDFEFE" w:val="clear"/>
            <w:tcMar>
              <w:top w:type="dxa" w:w="60"/>
              <w:left w:type="dxa" w:w="120"/>
              <w:bottom w:type="dxa" w:w="60"/>
              <w:right w:type="dxa" w:w="120"/>
            </w:tcMar>
          </w:tcPr>
          <w:p>
            <w:r>
              <w:rPr>
                <w:rFonts w:ascii="Arial" w:cs="Arial" w:eastAsia="Arial" w:hAnsi="Arial"/>
                <w:color w:val="000000"/>
                <w:sz w:val="20"/>
                <w:szCs w:val="20"/>
              </w:rPr>
              <w:t xml:space="preserve">Feature rank stability analysis added. Table S1 reports fold-to-fold rank stability. Mean Spearman rank correlation across 5-fold pairs: −0.120 [−0.213 to 0.058] — very low. Only KDIGO Stage appeared in the top-20 predictors across all 5 folds. 11 additional proteins appeared in the top-20 in 2–3 folds: AKT1 (3 folds), HAMP (3 folds), SAA1 (2), PPBP (2), DEFA3 (2), NPPB (2), GSTK1 (2), REN (2), CRP (2), SAA2 (2), TNNI2 (2). This instability is expected at n=28 ATI events and precludes biomarker identification claims.</w:t>
            </w:r>
          </w:p>
        </w:tc>
      </w:tr>
    </w:tbl>
    <w:p>
      <w:pPr>
        <w:spacing w:after="72" w:before="0"/>
      </w:pPr>
      <w:r>
        <w:rPr>
          <w:rFonts w:ascii="Times New Roman" w:cs="Times New Roman" w:eastAsia="Times New Roman" w:hAnsi="Times New Roman"/>
          <w:color w:val="000000"/>
          <w:sz w:val="24"/>
          <w:szCs w:val="24"/>
        </w:rPr>
        <w:t xml:space="preserve"/>
      </w:r>
    </w:p>
    <w:p>
      <w:pPr>
        <w:spacing w:after="120" w:before="60" w:line="480" w:lineRule="auto"/>
        <w:jc w:val="both"/>
      </w:pPr>
      <w:r>
        <w:rPr>
          <w:rFonts w:ascii="Times New Roman" w:cs="Times New Roman" w:eastAsia="Times New Roman" w:hAnsi="Times New Roman"/>
          <w:color w:val="000000"/>
          <w:sz w:val="24"/>
          <w:szCs w:val="24"/>
        </w:rPr>
        <w:t xml:space="preserve">KDIGO Stage ranked first in all five folds, reinforcing clinical variable dominance. Protein rankings were unstable across folds (mean Spearman rank correlation −0.120 [−0.213 to 0.058]), confirming that feature importance results at this sample size are exploratory and unsuitable for biomarker identification. See Table S1 for complete fold-to-fold rank stability.</w:t>
      </w:r>
    </w:p>
    <w:p>
      <w:pPr>
        <w:pStyle w:val="Heading1"/>
        <w:spacing w:after="120" w:before="480"/>
      </w:pPr>
      <w:r>
        <w:rPr>
          <w:rFonts w:ascii="Arial" w:cs="Arial" w:eastAsia="Arial" w:hAnsi="Arial"/>
          <w:b/>
          <w:bCs/>
          <w:caps/>
          <w:color w:val="1F3864"/>
          <w:sz w:val="28"/>
          <w:szCs w:val="28"/>
        </w:rPr>
        <w:t xml:space="preserve">4. Discussion</w:t>
      </w:r>
    </w:p>
    <w:p>
      <w:pPr>
        <w:pStyle w:val="Heading2"/>
        <w:spacing w:after="80" w:before="360"/>
      </w:pPr>
      <w:r>
        <w:rPr>
          <w:rFonts w:ascii="Arial" w:cs="Arial" w:eastAsia="Arial" w:hAnsi="Arial"/>
          <w:b/>
          <w:bCs/>
          <w:color w:val="2E75B6"/>
          <w:sz w:val="24"/>
          <w:szCs w:val="24"/>
        </w:rPr>
        <w:t xml:space="preserve">4.1 Principal Finding</w:t>
      </w:r>
    </w:p>
    <w:p>
      <w:pPr>
        <w:spacing w:after="120" w:before="60" w:line="480" w:lineRule="auto"/>
        <w:jc w:val="both"/>
      </w:pPr>
      <w:r>
        <w:rPr>
          <w:rFonts w:ascii="Times New Roman" w:cs="Times New Roman" w:eastAsia="Times New Roman" w:hAnsi="Times New Roman"/>
          <w:color w:val="000000"/>
          <w:sz w:val="24"/>
          <w:szCs w:val="24"/>
        </w:rPr>
        <w:t xml:space="preserve">ATI is not detectable from plasma or urine SomaScan proteomics within the AKI-enrolled population at n=17–28, replicated in two independent pipelines. Both pipelines produce near-chance AKI-only AUROC and negative BSS.</w:t>
      </w:r>
    </w:p>
    <w:p>
      <w:pPr>
        <w:pStyle w:val="Heading2"/>
        <w:spacing w:after="80" w:before="360"/>
      </w:pPr>
      <w:r>
        <w:rPr>
          <w:rFonts w:ascii="Arial" w:cs="Arial" w:eastAsia="Arial" w:hAnsi="Arial"/>
          <w:b/>
          <w:bCs/>
          <w:color w:val="2E75B6"/>
          <w:sz w:val="24"/>
          <w:szCs w:val="24"/>
        </w:rPr>
        <w:t xml:space="preserve">4.2 The AUROC vs BSS Contradiction</w:t>
      </w:r>
    </w:p>
    <w:p>
      <w:pPr>
        <w:spacing w:after="120" w:before="60" w:line="480" w:lineRule="auto"/>
        <w:jc w:val="both"/>
      </w:pPr>
      <w:r>
        <w:rPr>
          <w:rFonts w:ascii="Times New Roman" w:cs="Times New Roman" w:eastAsia="Times New Roman" w:hAnsi="Times New Roman"/>
          <w:color w:val="000000"/>
          <w:sz w:val="24"/>
          <w:szCs w:val="24"/>
        </w:rPr>
        <w:t xml:space="preserve">Clinical LR AUROC 0.939 and BSS −0.029 on the same full-cohort data: a model that ranks participants correctly can produce worse-than-naive probabilities. The mechanism is enrollment composition confounding. This finding argues for mandatory BSS reporting alongside AUROC in mixed-enrollment biopsy cohort studies.</w:t>
      </w:r>
    </w:p>
    <w:p>
      <w:pPr>
        <w:pStyle w:val="Heading2"/>
        <w:spacing w:after="80" w:before="360"/>
      </w:pPr>
      <w:r>
        <w:rPr>
          <w:rFonts w:ascii="Arial" w:cs="Arial" w:eastAsia="Arial" w:hAnsi="Arial"/>
          <w:b/>
          <w:bCs/>
          <w:color w:val="2E75B6"/>
          <w:sz w:val="24"/>
          <w:szCs w:val="24"/>
        </w:rPr>
        <w:t xml:space="preserve">4.3 Urine Outperforms Plasma</w:t>
      </w:r>
    </w:p>
    <w:p>
      <w:pPr>
        <w:spacing w:after="120" w:before="60" w:line="480" w:lineRule="auto"/>
        <w:jc w:val="both"/>
      </w:pPr>
      <w:r>
        <w:rPr>
          <w:rFonts w:ascii="Times New Roman" w:cs="Times New Roman" w:eastAsia="Times New Roman" w:hAnsi="Times New Roman"/>
          <w:color w:val="000000"/>
          <w:sz w:val="24"/>
          <w:szCs w:val="24"/>
        </w:rPr>
        <w:t xml:space="preserve">In the matched within-participant cohort (n=136), urine SomaScan outperformed plasma across BSS (0.252 vs 0.205 full cohort). Combined multimodal BSS 0.314 was the highest across all models. These findings are biologically coherent but should be confirmed in a powered prospective study given the full-cohort enrollment confound.</w:t>
      </w:r>
    </w:p>
    <w:p>
      <w:pPr>
        <w:pStyle w:val="Heading2"/>
        <w:spacing w:after="80" w:before="360"/>
      </w:pPr>
      <w:r>
        <w:rPr>
          <w:rFonts w:ascii="Arial" w:cs="Arial" w:eastAsia="Arial" w:hAnsi="Arial"/>
          <w:b/>
          <w:bCs/>
          <w:color w:val="2E75B6"/>
          <w:sz w:val="24"/>
          <w:szCs w:val="24"/>
        </w:rPr>
        <w:t xml:space="preserve">4.4 Batch Validation</w:t>
      </w:r>
    </w:p>
    <w:p>
      <w:pPr>
        <w:spacing w:after="120" w:before="60" w:line="480" w:lineRule="auto"/>
        <w:jc w:val="both"/>
      </w:pPr>
      <w:r>
        <w:rPr>
          <w:rFonts w:ascii="Times New Roman" w:cs="Times New Roman" w:eastAsia="Times New Roman" w:hAnsi="Times New Roman"/>
          <w:color w:val="000000"/>
          <w:sz w:val="24"/>
          <w:szCs w:val="24"/>
        </w:rPr>
        <w:t xml:space="preserve">Empirical batch quantification (Figure S1) confirms: PC1 and PC2 separate by batch (p=0.009 and p=0.002), consistent with ANML vs ANML-SMP normalisation differences. However, ATI-positive participants are distributed across both batch clusters (Figure S1A), confirming ATI status is not confounded with batch. Per-protein variance decomposition: median batch variance 1.9%, maximum 16.1%, zero proteins exceed 20%. These results support the batch covariate approach and provide quantitative reassurance that the full-cohort AUROC is not driven by batch-ATI confounding.</w:t>
      </w:r>
    </w:p>
    <w:p>
      <w:pPr>
        <w:pStyle w:val="Heading2"/>
        <w:spacing w:after="80" w:before="360"/>
      </w:pPr>
      <w:r>
        <w:rPr>
          <w:rFonts w:ascii="Arial" w:cs="Arial" w:eastAsia="Arial" w:hAnsi="Arial"/>
          <w:b/>
          <w:bCs/>
          <w:color w:val="2E75B6"/>
          <w:sz w:val="24"/>
          <w:szCs w:val="24"/>
        </w:rPr>
        <w:t xml:space="preserve">4.5 Equity Considerations (PROGRESS-Plus)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7AE60" w:sz="1"/>
              <w:left w:val="single" w:color="27AE60" w:sz="1"/>
              <w:bottom w:val="single" w:color="27AE60" w:sz="1"/>
              <w:right w:val="single" w:color="27AE60" w:sz="1"/>
            </w:tcBorders>
            <w:shd w:fill="27AE60" w:val="clear"/>
            <w:tcMar>
              <w:top w:type="dxa" w:w="60"/>
              <w:left w:type="dxa" w:w="120"/>
              <w:bottom w:type="dxa" w:w="60"/>
              <w:right w:type="dxa" w:w="120"/>
            </w:tcMar>
            <w:vAlign w:val="center"/>
          </w:tcPr>
          <w:p>
            <w:r>
              <w:rPr>
                <w:rFonts w:ascii="Arial" w:cs="Arial" w:eastAsia="Arial" w:hAnsi="Arial"/>
                <w:b/>
                <w:bCs/>
                <w:color w:val="FFFFFF"/>
                <w:sz w:val="18"/>
                <w:szCs w:val="18"/>
              </w:rPr>
              <w:t xml:space="preserve">M2 RESOLVED
RESOLVED</w:t>
            </w:r>
          </w:p>
        </w:tc>
        <w:tc>
          <w:tcPr>
            <w:tcW w:type="dxa" w:w="7960"/>
            <w:tcBorders>
              <w:top w:val="single" w:color="27AE60" w:sz="1"/>
              <w:left w:val="single" w:color="27AE60" w:sz="1"/>
              <w:bottom w:val="single" w:color="27AE60" w:sz="1"/>
              <w:right w:val="single" w:color="27AE60" w:sz="1"/>
            </w:tcBorders>
            <w:shd w:fill="FDFEFE" w:val="clear"/>
            <w:tcMar>
              <w:top w:type="dxa" w:w="60"/>
              <w:left w:type="dxa" w:w="120"/>
              <w:bottom w:type="dxa" w:w="60"/>
              <w:right w:type="dxa" w:w="120"/>
            </w:tcMar>
          </w:tcPr>
          <w:p>
            <w:r>
              <w:rPr>
                <w:rFonts w:ascii="Arial" w:cs="Arial" w:eastAsia="Arial" w:hAnsi="Arial"/>
                <w:color w:val="000000"/>
                <w:sz w:val="20"/>
                <w:szCs w:val="20"/>
              </w:rPr>
              <w:t xml:space="preserve">PROGRESS-Plus framework applied per O'Neill et al. 2014 [17]. Discussion of equity implications added.</w:t>
            </w:r>
          </w:p>
        </w:tc>
      </w:tr>
    </w:tbl>
    <w:p>
      <w:pPr>
        <w:spacing w:after="72" w:before="0"/>
      </w:pPr>
      <w:r>
        <w:rPr>
          <w:rFonts w:ascii="Times New Roman" w:cs="Times New Roman" w:eastAsia="Times New Roman" w:hAnsi="Times New Roman"/>
          <w:color w:val="000000"/>
          <w:sz w:val="24"/>
          <w:szCs w:val="24"/>
        </w:rPr>
        <w:t xml:space="preserve"/>
      </w:r>
    </w:p>
    <w:p>
      <w:pPr>
        <w:spacing w:after="120" w:before="60" w:line="480" w:lineRule="auto"/>
        <w:jc w:val="both"/>
      </w:pPr>
      <w:r>
        <w:rPr>
          <w:rFonts w:ascii="Times New Roman" w:cs="Times New Roman" w:eastAsia="Times New Roman" w:hAnsi="Times New Roman"/>
          <w:color w:val="000000"/>
          <w:sz w:val="24"/>
          <w:szCs w:val="24"/>
        </w:rPr>
        <w:t xml:space="preserve">The KPMP cohort includes 28.1% Black or African-American participants, substantially higher than typical US nephrology trial populations, reflecting KPMP's deliberate oversampling strategy. ATI-positive participants were 39.3% Black or African-American vs 27.1% ATI-negative, a difference that should be explored in powered studies as it may reflect differential ATI aetiology or biopsy indication patterns across demographic groups.</w:t>
      </w:r>
    </w:p>
    <w:p>
      <w:pPr>
        <w:spacing w:after="120" w:before="60" w:line="480" w:lineRule="auto"/>
        <w:jc w:val="both"/>
      </w:pPr>
      <w:r>
        <w:rPr>
          <w:rFonts w:ascii="Times New Roman" w:cs="Times New Roman" w:eastAsia="Times New Roman" w:hAnsi="Times New Roman"/>
          <w:color w:val="000000"/>
          <w:sz w:val="24"/>
          <w:szCs w:val="24"/>
        </w:rPr>
        <w:t xml:space="preserve">Sample sizes in this study (ATI n=28) preclude statistically meaningful subgroup performance analysis by race/ethnicity or sex. The urine-first recommendation carries equity implications: urine collection depends on participant compliance and cold-chain infrastructure, which may be unequally available across demographic groups and care settings. Future prospective studies implementing this pipeline should report stratified performance by sex and race/ethnicity as a primary equity deliverable.</w:t>
      </w:r>
    </w:p>
    <w:p>
      <w:pPr>
        <w:pStyle w:val="Heading2"/>
        <w:spacing w:after="80" w:before="360"/>
      </w:pPr>
      <w:r>
        <w:rPr>
          <w:rFonts w:ascii="Arial" w:cs="Arial" w:eastAsia="Arial" w:hAnsi="Arial"/>
          <w:b/>
          <w:bCs/>
          <w:color w:val="2E75B6"/>
          <w:sz w:val="24"/>
          <w:szCs w:val="24"/>
        </w:rPr>
        <w:t xml:space="preserve">4.6 Limitations</w:t>
      </w:r>
    </w:p>
    <w:p>
      <w:pPr>
        <w:spacing w:after="120" w:before="60" w:line="480" w:lineRule="auto"/>
        <w:ind w:left="720"/>
        <w:jc w:val="both"/>
      </w:pPr>
      <w:r>
        <w:rPr>
          <w:rFonts w:ascii="Times New Roman" w:cs="Times New Roman" w:eastAsia="Times New Roman" w:hAnsi="Times New Roman"/>
          <w:b/>
          <w:bCs/>
          <w:color w:val="000000"/>
          <w:sz w:val="24"/>
          <w:szCs w:val="24"/>
        </w:rPr>
        <w:t xml:space="preserve">Sample size. </w:t>
      </w:r>
      <w:r>
        <w:rPr>
          <w:rFonts w:ascii="Times New Roman" w:cs="Times New Roman" w:eastAsia="Times New Roman" w:hAnsi="Times New Roman"/>
          <w:color w:val="000000"/>
          <w:sz w:val="24"/>
          <w:szCs w:val="24"/>
        </w:rPr>
        <w:t xml:space="preserve">ATI n=17–28 is the dominant limitation. Min detectable AUROC at n=28 is 0.675; observed 0.611 is below threshold. Feature importance is unstable (mean fold Spearman r=−0.120). All metrics are exploratory.</w:t>
      </w:r>
    </w:p>
    <w:p>
      <w:pPr>
        <w:spacing w:after="120" w:before="60" w:line="480" w:lineRule="auto"/>
        <w:ind w:left="720"/>
        <w:jc w:val="both"/>
      </w:pPr>
      <w:r>
        <w:rPr>
          <w:rFonts w:ascii="Times New Roman" w:cs="Times New Roman" w:eastAsia="Times New Roman" w:hAnsi="Times New Roman"/>
          <w:b/>
          <w:bCs/>
          <w:color w:val="000000"/>
          <w:sz w:val="24"/>
          <w:szCs w:val="24"/>
        </w:rPr>
        <w:t xml:space="preserve">Cohort enrichment. </w:t>
      </w:r>
      <w:r>
        <w:rPr>
          <w:rFonts w:ascii="Times New Roman" w:cs="Times New Roman" w:eastAsia="Times New Roman" w:hAnsi="Times New Roman"/>
          <w:color w:val="000000"/>
          <w:sz w:val="24"/>
          <w:szCs w:val="24"/>
        </w:rPr>
        <w:t xml:space="preserve">The biopsy-enriched KPMP cohort is not representative of unselected AKI populations.</w:t>
      </w:r>
    </w:p>
    <w:p>
      <w:pPr>
        <w:spacing w:after="120" w:before="60" w:line="480" w:lineRule="auto"/>
        <w:ind w:left="720"/>
        <w:jc w:val="both"/>
      </w:pPr>
      <w:r>
        <w:rPr>
          <w:rFonts w:ascii="Times New Roman" w:cs="Times New Roman" w:eastAsia="Times New Roman" w:hAnsi="Times New Roman"/>
          <w:b/>
          <w:bCs/>
          <w:color w:val="000000"/>
          <w:sz w:val="24"/>
          <w:szCs w:val="24"/>
        </w:rPr>
        <w:t xml:space="preserve">Batch harmonization. </w:t>
      </w:r>
      <w:r>
        <w:rPr>
          <w:rFonts w:ascii="Times New Roman" w:cs="Times New Roman" w:eastAsia="Times New Roman" w:hAnsi="Times New Roman"/>
          <w:color w:val="000000"/>
          <w:sz w:val="24"/>
          <w:szCs w:val="24"/>
        </w:rPr>
        <w:t xml:space="preserve">ANML vs ANML-SMP normalisation differences produce PC-level batch separation (p&lt;0.01). Empirically quantified: median batch variance 1.9% in top-500 features; batch-ATI confounding excluded (Figure S1). Residual multiplicative protein-specific batch effects may remain unmodelled.</w:t>
      </w:r>
    </w:p>
    <w:p>
      <w:pPr>
        <w:spacing w:after="120" w:before="60" w:line="480" w:lineRule="auto"/>
        <w:ind w:left="720"/>
        <w:jc w:val="both"/>
      </w:pPr>
      <w:r>
        <w:rPr>
          <w:rFonts w:ascii="Times New Roman" w:cs="Times New Roman" w:eastAsia="Times New Roman" w:hAnsi="Times New Roman"/>
          <w:b/>
          <w:bCs/>
          <w:color w:val="000000"/>
          <w:sz w:val="24"/>
          <w:szCs w:val="24"/>
        </w:rPr>
        <w:t xml:space="preserve">No external validation. </w:t>
      </w:r>
      <w:r>
        <w:rPr>
          <w:rFonts w:ascii="Times New Roman" w:cs="Times New Roman" w:eastAsia="Times New Roman" w:hAnsi="Times New Roman"/>
          <w:color w:val="000000"/>
          <w:sz w:val="24"/>
          <w:szCs w:val="24"/>
        </w:rPr>
        <w:t xml:space="preserve">All results from internal 5-fold CV on a single harmonized dataset.</w:t>
      </w:r>
    </w:p>
    <w:p>
      <w:pPr>
        <w:spacing w:after="120" w:before="60" w:line="480" w:lineRule="auto"/>
        <w:ind w:left="720"/>
        <w:jc w:val="both"/>
      </w:pPr>
      <w:r>
        <w:rPr>
          <w:rFonts w:ascii="Times New Roman" w:cs="Times New Roman" w:eastAsia="Times New Roman" w:hAnsi="Times New Roman"/>
          <w:b/>
          <w:bCs/>
          <w:color w:val="000000"/>
          <w:sz w:val="24"/>
          <w:szCs w:val="24"/>
        </w:rPr>
        <w:t xml:space="preserve">Permutation test limitation. </w:t>
      </w:r>
      <w:r>
        <w:rPr>
          <w:rFonts w:ascii="Times New Roman" w:cs="Times New Roman" w:eastAsia="Times New Roman" w:hAnsi="Times New Roman"/>
          <w:color w:val="000000"/>
          <w:sz w:val="24"/>
          <w:szCs w:val="24"/>
        </w:rPr>
        <w:t xml:space="preserve">Label-shuffle on fixed OOF predictions; not full model-refit permutation.</w:t>
      </w:r>
    </w:p>
    <w:p>
      <w:pPr>
        <w:spacing w:after="120" w:before="60" w:line="480" w:lineRule="auto"/>
        <w:ind w:left="720"/>
        <w:jc w:val="both"/>
      </w:pPr>
      <w:r>
        <w:rPr>
          <w:rFonts w:ascii="Times New Roman" w:cs="Times New Roman" w:eastAsia="Times New Roman" w:hAnsi="Times New Roman"/>
          <w:b/>
          <w:bCs/>
          <w:color w:val="000000"/>
          <w:sz w:val="24"/>
          <w:szCs w:val="24"/>
        </w:rPr>
        <w:t xml:space="preserve">ECE instability. </w:t>
      </w:r>
      <w:r>
        <w:rPr>
          <w:rFonts w:ascii="Times New Roman" w:cs="Times New Roman" w:eastAsia="Times New Roman" w:hAnsi="Times New Roman"/>
          <w:color w:val="000000"/>
          <w:sz w:val="24"/>
          <w:szCs w:val="24"/>
        </w:rPr>
        <w:t xml:space="preserve">5-bin quantile ECE with 5–6 ATI-positive cases is qualitative only.</w:t>
      </w:r>
    </w:p>
    <w:p>
      <w:pPr>
        <w:spacing w:after="120" w:before="60" w:line="480" w:lineRule="auto"/>
        <w:ind w:left="720"/>
        <w:jc w:val="both"/>
      </w:pPr>
      <w:r>
        <w:rPr>
          <w:rFonts w:ascii="Times New Roman" w:cs="Times New Roman" w:eastAsia="Times New Roman" w:hAnsi="Times New Roman"/>
          <w:b/>
          <w:bCs/>
          <w:color w:val="000000"/>
          <w:sz w:val="24"/>
          <w:szCs w:val="24"/>
        </w:rPr>
        <w:t xml:space="preserve">KDIGO imputation. </w:t>
      </w:r>
      <w:r>
        <w:rPr>
          <w:rFonts w:ascii="Times New Roman" w:cs="Times New Roman" w:eastAsia="Times New Roman" w:hAnsi="Times New Roman"/>
          <w:color w:val="000000"/>
          <w:sz w:val="24"/>
          <w:szCs w:val="24"/>
        </w:rPr>
        <w:t xml:space="preserve">2/28 ATI-positive participants had missing KDIGO Stage coded as 0; this underestimates their AKI severity.</w:t>
      </w:r>
    </w:p>
    <w:p>
      <w:pPr>
        <w:spacing w:after="120" w:before="60" w:line="480" w:lineRule="auto"/>
        <w:ind w:left="720"/>
        <w:jc w:val="both"/>
      </w:pPr>
      <w:r>
        <w:rPr>
          <w:rFonts w:ascii="Times New Roman" w:cs="Times New Roman" w:eastAsia="Times New Roman" w:hAnsi="Times New Roman"/>
          <w:b/>
          <w:bCs/>
          <w:color w:val="000000"/>
          <w:sz w:val="24"/>
          <w:szCs w:val="24"/>
        </w:rPr>
        <w:t xml:space="preserve">Equity. </w:t>
      </w:r>
      <w:r>
        <w:rPr>
          <w:rFonts w:ascii="Times New Roman" w:cs="Times New Roman" w:eastAsia="Times New Roman" w:hAnsi="Times New Roman"/>
          <w:color w:val="000000"/>
          <w:sz w:val="24"/>
          <w:szCs w:val="24"/>
        </w:rPr>
        <w:t xml:space="preserve">Sample sizes preclude stratified subgroup performance analysis by race/ethnicity or sex.</w:t>
      </w:r>
    </w:p>
    <w:p>
      <w:pPr>
        <w:spacing w:after="240" w:before="0"/>
      </w:pPr>
      <w:r>
        <w:rPr>
          <w:rFonts w:ascii="Times New Roman" w:cs="Times New Roman" w:eastAsia="Times New Roman" w:hAnsi="Times New Roman"/>
          <w:color w:val="000000"/>
          <w:sz w:val="24"/>
          <w:szCs w:val="24"/>
        </w:rPr>
        <w:t xml:space="preserve"/>
      </w:r>
    </w:p>
    <w:p>
      <w:pPr>
        <w:pStyle w:val="Heading1"/>
        <w:spacing w:after="120" w:before="480"/>
      </w:pPr>
      <w:r>
        <w:rPr>
          <w:rFonts w:ascii="Arial" w:cs="Arial" w:eastAsia="Arial" w:hAnsi="Arial"/>
          <w:b/>
          <w:bCs/>
          <w:caps/>
          <w:color w:val="1F3864"/>
          <w:sz w:val="28"/>
          <w:szCs w:val="28"/>
        </w:rPr>
        <w:t xml:space="preserve">5. Conclusion</w:t>
      </w:r>
    </w:p>
    <w:p>
      <w:pPr>
        <w:spacing w:after="120" w:before="60" w:line="480" w:lineRule="auto"/>
        <w:jc w:val="both"/>
      </w:pPr>
      <w:r>
        <w:rPr>
          <w:rFonts w:ascii="Times New Roman" w:cs="Times New Roman" w:eastAsia="Times New Roman" w:hAnsi="Times New Roman"/>
          <w:color w:val="000000"/>
          <w:sz w:val="24"/>
          <w:szCs w:val="24"/>
        </w:rPr>
        <w:t xml:space="preserve">ATI is not detectable from plasma or urine SomaScan proteomics within AKI at current open-access sample sizes (ATI n=17–28), replicated in two independent pipelines and confirmed robust to batch effects (median batch variance 1.9% in feature-selected proteins). The full-cohort AUROC reflects enrollment composition, not ATI signal. BSS difference between uncalibrated and Platt-calibrated XGBoost is not statistically significant. Combined plasma+urine achieved the highest full-cohort probability skill (BSS 0.314); urine outperforms plasma (BSS 0.252 vs 0.205). The calibrated multimodal pipeline, PROGRESS-Plus equity framework, empirical batch quantification, and sample size calculations provide a rigorous and equitably-grounded template for the powered study that will definitively answer the ATI prediction question.</w:t>
      </w:r>
    </w:p>
    <w:p>
      <w:pPr>
        <w:spacing w:after="240" w:before="0"/>
      </w:pPr>
      <w:r>
        <w:rPr>
          <w:rFonts w:ascii="Times New Roman" w:cs="Times New Roman" w:eastAsia="Times New Roman" w:hAnsi="Times New Roman"/>
          <w:color w:val="000000"/>
          <w:sz w:val="24"/>
          <w:szCs w:val="24"/>
        </w:rPr>
        <w:t xml:space="preserve"/>
      </w:r>
    </w:p>
    <w:p>
      <w:pPr>
        <w:pStyle w:val="Heading1"/>
        <w:spacing w:after="120" w:before="480"/>
      </w:pPr>
      <w:r>
        <w:rPr>
          <w:rFonts w:ascii="Arial" w:cs="Arial" w:eastAsia="Arial" w:hAnsi="Arial"/>
          <w:b/>
          <w:bCs/>
          <w:caps/>
          <w:color w:val="1F3864"/>
          <w:sz w:val="28"/>
          <w:szCs w:val="28"/>
        </w:rPr>
        <w:t xml:space="preserve">Data Availability</w:t>
      </w:r>
    </w:p>
    <w:p>
      <w:pPr>
        <w:spacing w:after="120" w:before="60" w:line="480" w:lineRule="auto"/>
        <w:jc w:val="both"/>
      </w:pPr>
      <w:r>
        <w:rPr>
          <w:rFonts w:ascii="Times New Roman" w:cs="Times New Roman" w:eastAsia="Times New Roman" w:hAnsi="Times New Roman"/>
          <w:color w:val="000000"/>
          <w:sz w:val="24"/>
          <w:szCs w:val="24"/>
        </w:rPr>
        <w:t xml:space="preserve">KPMP SomaScan plasma and urine datasets: open access at https://atlas.kpmp.org (DOI: 10.48698/6VRN-ZE53; accessed April 12, 2026). Clinical data: same repository. Code: https://github.com/julian-borges-md/ati-proteomics (MIT, PUBLIC). Feature rank stability (Table S1) and batch PCA (Figure S1) available in repository artifacts/.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7AE60" w:sz="1"/>
              <w:left w:val="single" w:color="27AE60" w:sz="1"/>
              <w:bottom w:val="single" w:color="27AE60" w:sz="1"/>
              <w:right w:val="single" w:color="27AE60" w:sz="1"/>
            </w:tcBorders>
            <w:shd w:fill="27AE60" w:val="clear"/>
            <w:tcMar>
              <w:top w:type="dxa" w:w="60"/>
              <w:left w:type="dxa" w:w="120"/>
              <w:bottom w:type="dxa" w:w="60"/>
              <w:right w:type="dxa" w:w="120"/>
            </w:tcMar>
            <w:vAlign w:val="center"/>
          </w:tcPr>
          <w:p>
            <w:r>
              <w:rPr>
                <w:rFonts w:ascii="Arial" w:cs="Arial" w:eastAsia="Arial" w:hAnsi="Arial"/>
                <w:b/>
                <w:bCs/>
                <w:color w:val="FFFFFF"/>
                <w:sz w:val="18"/>
                <w:szCs w:val="18"/>
              </w:rPr>
              <w:t xml:space="preserve">mn3 RESOLVED
RESOLVED</w:t>
            </w:r>
          </w:p>
        </w:tc>
        <w:tc>
          <w:tcPr>
            <w:tcW w:type="dxa" w:w="7960"/>
            <w:tcBorders>
              <w:top w:val="single" w:color="27AE60" w:sz="1"/>
              <w:left w:val="single" w:color="27AE60" w:sz="1"/>
              <w:bottom w:val="single" w:color="27AE60" w:sz="1"/>
              <w:right w:val="single" w:color="27AE60" w:sz="1"/>
            </w:tcBorders>
            <w:shd w:fill="FDFEFE" w:val="clear"/>
            <w:tcMar>
              <w:top w:type="dxa" w:w="60"/>
              <w:left w:type="dxa" w:w="120"/>
              <w:bottom w:type="dxa" w:w="60"/>
              <w:right w:type="dxa" w:w="120"/>
            </w:tcMar>
          </w:tcPr>
          <w:p>
            <w:r>
              <w:rPr>
                <w:rFonts w:ascii="Arial" w:cs="Arial" w:eastAsia="Arial" w:hAnsi="Arial"/>
                <w:color w:val="000000"/>
                <w:sz w:val="20"/>
                <w:szCs w:val="20"/>
              </w:rPr>
              <w:t xml:space="preserve">GitHub repository github.com/julian-borges-md/ati-proteomics is PUBLIC. Confirmed accessible at submission. All pipeline code, unit tests (9/9 passing), and supplementary data files (feature_rank_stability.csv, FigS1_Batch_PCA.png) are included in the repository at commit 36dfc5a.</w:t>
            </w:r>
          </w:p>
        </w:tc>
      </w:tr>
    </w:tbl>
    <w:p>
      <w:pPr>
        <w:spacing w:after="240" w:before="0"/>
      </w:pPr>
      <w:r>
        <w:rPr>
          <w:rFonts w:ascii="Times New Roman" w:cs="Times New Roman" w:eastAsia="Times New Roman" w:hAnsi="Times New Roman"/>
          <w:color w:val="000000"/>
          <w:sz w:val="24"/>
          <w:szCs w:val="24"/>
        </w:rPr>
        <w:t xml:space="preserve"/>
      </w:r>
    </w:p>
    <w:p>
      <w:pPr>
        <w:pStyle w:val="Heading1"/>
        <w:spacing w:after="120" w:before="480"/>
      </w:pPr>
      <w:r>
        <w:rPr>
          <w:rFonts w:ascii="Arial" w:cs="Arial" w:eastAsia="Arial" w:hAnsi="Arial"/>
          <w:b/>
          <w:bCs/>
          <w:caps/>
          <w:color w:val="1F3864"/>
          <w:sz w:val="28"/>
          <w:szCs w:val="28"/>
        </w:rPr>
        <w:t xml:space="preserve">KPMP Data Citation</w:t>
      </w:r>
    </w:p>
    <w:p>
      <w:pPr>
        <w:spacing w:after="120" w:before="60" w:line="480" w:lineRule="auto"/>
        <w:jc w:val="both"/>
      </w:pPr>
      <w:r>
        <w:rPr>
          <w:rFonts w:ascii="Times New Roman" w:cs="Times New Roman" w:eastAsia="Times New Roman" w:hAnsi="Times New Roman"/>
          <w:color w:val="000000"/>
          <w:sz w:val="24"/>
          <w:szCs w:val="24"/>
        </w:rPr>
        <w:t xml:space="preserve">The results here are in whole or part based upon data generated by the Kidney Precision Medicine Project. Accessed April 12, 2026. https://www.kpmp.org. The KPMP is supported by NIDDK through grants: U01DK133081, U01DK133091, U01DK133092, U01DK133093, U01DK133095, U01DK133097, U01DK114866, U01DK114908, U01DK133090, U01DK133113, U01DK133766, U01DK133768, U01DK114907, U01DK114920, U01DK114923, U01DK114933, U24DK114886, UH3DK114926, UH3DK114861, UH3DK114915, and UH3DK114937.</w:t>
      </w:r>
    </w:p>
    <w:p>
      <w:pPr>
        <w:spacing w:after="240" w:before="0"/>
      </w:pPr>
      <w:r>
        <w:rPr>
          <w:rFonts w:ascii="Times New Roman" w:cs="Times New Roman" w:eastAsia="Times New Roman" w:hAnsi="Times New Roman"/>
          <w:color w:val="000000"/>
          <w:sz w:val="24"/>
          <w:szCs w:val="24"/>
        </w:rPr>
        <w:t xml:space="preserve"/>
      </w:r>
    </w:p>
    <w:p>
      <w:pPr>
        <w:pStyle w:val="Heading1"/>
        <w:spacing w:after="120" w:before="480"/>
      </w:pPr>
      <w:r>
        <w:rPr>
          <w:rFonts w:ascii="Arial" w:cs="Arial" w:eastAsia="Arial" w:hAnsi="Arial"/>
          <w:b/>
          <w:bCs/>
          <w:caps/>
          <w:color w:val="1F3864"/>
          <w:sz w:val="28"/>
          <w:szCs w:val="28"/>
        </w:rPr>
        <w:t xml:space="preserve">References</w:t>
      </w:r>
    </w:p>
    <w:p>
      <w:pPr>
        <w:spacing w:after="60" w:before="60" w:line="360" w:lineRule="auto"/>
        <w:ind w:left="720" w:hanging="720"/>
      </w:pPr>
      <w:r>
        <w:rPr>
          <w:rFonts w:ascii="Times New Roman" w:cs="Times New Roman" w:eastAsia="Times New Roman" w:hAnsi="Times New Roman"/>
          <w:sz w:val="20"/>
          <w:szCs w:val="20"/>
        </w:rPr>
        <w:t xml:space="preserve">1. Wen Y, et al. Kidney Int Rep. 2020;5:1993. doi:10.1016/j.ekir.2020.08.026</w:t>
      </w:r>
    </w:p>
    <w:p>
      <w:pPr>
        <w:spacing w:after="60" w:before="60" w:line="360" w:lineRule="auto"/>
        <w:ind w:left="720" w:hanging="720"/>
      </w:pPr>
      <w:r>
        <w:rPr>
          <w:rFonts w:ascii="Times New Roman" w:cs="Times New Roman" w:eastAsia="Times New Roman" w:hAnsi="Times New Roman"/>
          <w:sz w:val="20"/>
          <w:szCs w:val="20"/>
        </w:rPr>
        <w:t xml:space="preserve">2. Muiru AN, et al. Ann Intern Med. 2023;176:961. doi:10.7326/M22-3617</w:t>
      </w:r>
    </w:p>
    <w:p>
      <w:pPr>
        <w:spacing w:after="60" w:before="60" w:line="360" w:lineRule="auto"/>
        <w:ind w:left="720" w:hanging="720"/>
      </w:pPr>
      <w:r>
        <w:rPr>
          <w:rFonts w:ascii="Times New Roman" w:cs="Times New Roman" w:eastAsia="Times New Roman" w:hAnsi="Times New Roman"/>
          <w:sz w:val="20"/>
          <w:szCs w:val="20"/>
        </w:rPr>
        <w:t xml:space="preserve">3. Parikh CR, et al. Kidney Int. 2006;70:199. doi:10.1038/sj.ki.5001527</w:t>
      </w:r>
    </w:p>
    <w:p>
      <w:pPr>
        <w:spacing w:after="60" w:before="60" w:line="360" w:lineRule="auto"/>
        <w:ind w:left="720" w:hanging="720"/>
      </w:pPr>
      <w:r>
        <w:rPr>
          <w:rFonts w:ascii="Times New Roman" w:cs="Times New Roman" w:eastAsia="Times New Roman" w:hAnsi="Times New Roman"/>
          <w:sz w:val="20"/>
          <w:szCs w:val="20"/>
        </w:rPr>
        <w:t xml:space="preserve">4. Coca SG, et al. J Am Soc Nephrol. 2014;25:1063. doi:10.1681/ASN.2013070757</w:t>
      </w:r>
    </w:p>
    <w:p>
      <w:pPr>
        <w:spacing w:after="60" w:before="60" w:line="360" w:lineRule="auto"/>
        <w:ind w:left="720" w:hanging="720"/>
      </w:pPr>
      <w:r>
        <w:rPr>
          <w:rFonts w:ascii="Times New Roman" w:cs="Times New Roman" w:eastAsia="Times New Roman" w:hAnsi="Times New Roman"/>
          <w:sz w:val="20"/>
          <w:szCs w:val="20"/>
        </w:rPr>
        <w:t xml:space="preserve">5. Waikar SS, et al. J Am Soc Nephrol. 2012;23:13. doi:10.1681/ASN.2010111124</w:t>
      </w:r>
    </w:p>
    <w:p>
      <w:pPr>
        <w:spacing w:after="60" w:before="60" w:line="360" w:lineRule="auto"/>
        <w:ind w:left="720" w:hanging="720"/>
      </w:pPr>
      <w:r>
        <w:rPr>
          <w:rFonts w:ascii="Times New Roman" w:cs="Times New Roman" w:eastAsia="Times New Roman" w:hAnsi="Times New Roman"/>
          <w:sz w:val="20"/>
          <w:szCs w:val="20"/>
        </w:rPr>
        <w:t xml:space="preserve">6. Bonventre JV, Yang L. J Clin Invest. 2011;121:4210. doi:10.1172/JCI45161</w:t>
      </w:r>
    </w:p>
    <w:p>
      <w:pPr>
        <w:spacing w:after="60" w:before="60" w:line="360" w:lineRule="auto"/>
        <w:ind w:left="720" w:hanging="720"/>
      </w:pPr>
      <w:r>
        <w:rPr>
          <w:rFonts w:ascii="Times New Roman" w:cs="Times New Roman" w:eastAsia="Times New Roman" w:hAnsi="Times New Roman"/>
          <w:sz w:val="20"/>
          <w:szCs w:val="20"/>
        </w:rPr>
        <w:t xml:space="preserve">7. Perazella MA, Coca SG. Clin J Am Soc Nephrol. 2012;7:167. doi:10.2215/CJN.09490911</w:t>
      </w:r>
    </w:p>
    <w:p>
      <w:pPr>
        <w:spacing w:after="60" w:before="60" w:line="360" w:lineRule="auto"/>
        <w:ind w:left="720" w:hanging="720"/>
      </w:pPr>
      <w:r>
        <w:rPr>
          <w:rFonts w:ascii="Times New Roman" w:cs="Times New Roman" w:eastAsia="Times New Roman" w:hAnsi="Times New Roman"/>
          <w:sz w:val="20"/>
          <w:szCs w:val="20"/>
        </w:rPr>
        <w:t xml:space="preserve">8. Schlosser P, et al. J Am Soc Nephrol. 2021;32:2355. doi:10.1681/ASN.2021040478</w:t>
      </w:r>
    </w:p>
    <w:p>
      <w:pPr>
        <w:spacing w:after="60" w:before="60" w:line="360" w:lineRule="auto"/>
        <w:ind w:left="720" w:hanging="720"/>
      </w:pPr>
      <w:r>
        <w:rPr>
          <w:rFonts w:ascii="Times New Roman" w:cs="Times New Roman" w:eastAsia="Times New Roman" w:hAnsi="Times New Roman"/>
          <w:sz w:val="20"/>
          <w:szCs w:val="20"/>
        </w:rPr>
        <w:t xml:space="preserve">9. Moledina DG, et al. J Am Soc Nephrol. 2021;32:1424. doi:10.1681/ASN.2020091330</w:t>
      </w:r>
    </w:p>
    <w:p>
      <w:pPr>
        <w:spacing w:after="60" w:before="60" w:line="360" w:lineRule="auto"/>
        <w:ind w:left="720" w:hanging="720"/>
      </w:pPr>
      <w:r>
        <w:rPr>
          <w:rFonts w:ascii="Times New Roman" w:cs="Times New Roman" w:eastAsia="Times New Roman" w:hAnsi="Times New Roman"/>
          <w:sz w:val="20"/>
          <w:szCs w:val="20"/>
        </w:rPr>
        <w:t xml:space="preserve">10. Schmidt IM, et al. Nat Commun. 2024;15:7368. doi:10.1038/s41467-024-51304-x</w:t>
      </w:r>
    </w:p>
    <w:p>
      <w:pPr>
        <w:spacing w:after="60" w:before="60" w:line="360" w:lineRule="auto"/>
        <w:ind w:left="720" w:hanging="720"/>
      </w:pPr>
      <w:r>
        <w:rPr>
          <w:rFonts w:ascii="Times New Roman" w:cs="Times New Roman" w:eastAsia="Times New Roman" w:hAnsi="Times New Roman"/>
          <w:sz w:val="20"/>
          <w:szCs w:val="20"/>
        </w:rPr>
        <w:t xml:space="preserve">11. Van Calster B, et al. BMC Med. 2019;17:230. doi:10.1186/s12916-019-1466-7</w:t>
      </w:r>
    </w:p>
    <w:p>
      <w:pPr>
        <w:spacing w:after="60" w:before="60" w:line="360" w:lineRule="auto"/>
        <w:ind w:left="720" w:hanging="720"/>
      </w:pPr>
      <w:r>
        <w:rPr>
          <w:rFonts w:ascii="Times New Roman" w:cs="Times New Roman" w:eastAsia="Times New Roman" w:hAnsi="Times New Roman"/>
          <w:sz w:val="20"/>
          <w:szCs w:val="20"/>
        </w:rPr>
        <w:t xml:space="preserve">12. KPMP Consortium. JCI Insight. 2022;7:e154882. doi:10.1172/jci.insight.154882</w:t>
      </w:r>
    </w:p>
    <w:p>
      <w:pPr>
        <w:spacing w:after="60" w:before="60" w:line="360" w:lineRule="auto"/>
        <w:ind w:left="720" w:hanging="720"/>
      </w:pPr>
      <w:r>
        <w:rPr>
          <w:rFonts w:ascii="Times New Roman" w:cs="Times New Roman" w:eastAsia="Times New Roman" w:hAnsi="Times New Roman"/>
          <w:sz w:val="20"/>
          <w:szCs w:val="20"/>
        </w:rPr>
        <w:t xml:space="preserve">13. KPMP Data Harmonization Working Group. SomaScan cross-version harmonization protocol. KPMP Internal Documentation 2024. Available: atlas.kpmp.org/help-docs/technologies</w:t>
      </w:r>
    </w:p>
    <w:p>
      <w:pPr>
        <w:spacing w:after="60" w:before="60" w:line="360" w:lineRule="auto"/>
        <w:ind w:left="720" w:hanging="720"/>
      </w:pPr>
      <w:r>
        <w:rPr>
          <w:rFonts w:ascii="Times New Roman" w:cs="Times New Roman" w:eastAsia="Times New Roman" w:hAnsi="Times New Roman"/>
          <w:sz w:val="20"/>
          <w:szCs w:val="20"/>
        </w:rPr>
        <w:t xml:space="preserve">14. Collins GS, et al. BMJ. 2024;385:e078378. doi:10.1136/bmj-2023-078378</w:t>
      </w:r>
    </w:p>
    <w:p>
      <w:pPr>
        <w:spacing w:after="60" w:before="60" w:line="360" w:lineRule="auto"/>
        <w:ind w:left="720" w:hanging="720"/>
      </w:pPr>
      <w:r>
        <w:rPr>
          <w:rFonts w:ascii="Times New Roman" w:cs="Times New Roman" w:eastAsia="Times New Roman" w:hAnsi="Times New Roman"/>
          <w:sz w:val="20"/>
          <w:szCs w:val="20"/>
        </w:rPr>
        <w:t xml:space="preserve">15. Lee S, et al. Redox Biol. 2018;17:121. doi:10.1016/j.redox.2018.04.013</w:t>
      </w:r>
    </w:p>
    <w:p>
      <w:pPr>
        <w:spacing w:after="60" w:before="60" w:line="360" w:lineRule="auto"/>
        <w:ind w:left="720" w:hanging="720"/>
      </w:pPr>
      <w:r>
        <w:rPr>
          <w:rFonts w:ascii="Times New Roman" w:cs="Times New Roman" w:eastAsia="Times New Roman" w:hAnsi="Times New Roman"/>
          <w:sz w:val="20"/>
          <w:szCs w:val="20"/>
        </w:rPr>
        <w:t xml:space="preserve">16. Platt JC. Probabilistic outputs for support vector machines and comparisons to regularized likelihood methods. In: Advances in Large Margin Classifiers. MIT Press; 1999:61-74.</w:t>
      </w:r>
    </w:p>
    <w:p>
      <w:pPr>
        <w:spacing w:after="60" w:before="60" w:line="360" w:lineRule="auto"/>
        <w:ind w:left="720" w:hanging="720"/>
      </w:pPr>
      <w:r>
        <w:rPr>
          <w:rFonts w:ascii="Times New Roman" w:cs="Times New Roman" w:eastAsia="Times New Roman" w:hAnsi="Times New Roman"/>
          <w:sz w:val="20"/>
          <w:szCs w:val="20"/>
        </w:rPr>
        <w:t xml:space="preserve">17. O'Neill J, et al. Applying an equity lens to interventions: using PROGRESS ensures consideration of socially stratifying factors to illuminate inequities in health. J Clin Epidemiol. 2014;67:56-64. doi:10.1016/j.jclinepi.2013.08.005</w:t>
      </w:r>
    </w:p>
    <w:p>
      <w:r>
        <w:br w:type="page"/>
      </w:r>
    </w:p>
    <w:p>
      <w:pPr>
        <w:pStyle w:val="Heading1"/>
        <w:spacing w:after="120" w:before="480"/>
      </w:pPr>
      <w:r>
        <w:rPr>
          <w:rFonts w:ascii="Arial" w:cs="Arial" w:eastAsia="Arial" w:hAnsi="Arial"/>
          <w:b/>
          <w:bCs/>
          <w:caps/>
          <w:color w:val="1F3864"/>
          <w:sz w:val="28"/>
          <w:szCs w:val="28"/>
        </w:rPr>
        <w:t xml:space="preserve">Supplementary Table S1. Feature Rank Stability Across Cross-Validation Folds</w:t>
      </w:r>
    </w:p>
    <w:p>
      <w:pPr>
        <w:spacing w:after="120" w:before="60" w:line="480" w:lineRule="auto"/>
        <w:jc w:val="both"/>
      </w:pPr>
      <w:r>
        <w:rPr>
          <w:rFonts w:ascii="Times New Roman" w:cs="Times New Roman" w:eastAsia="Times New Roman" w:hAnsi="Times New Roman"/>
          <w:color w:val="000000"/>
          <w:sz w:val="24"/>
          <w:szCs w:val="24"/>
        </w:rPr>
        <w:t xml:space="preserve">Proteins appearing in the top-20 XGBoost gain-based predictors in ≥2 of 5 cross-validation folds. Rank = position in top-20 list (1=highest gain); — = not in top-20 for that fold.</w:t>
      </w:r>
    </w:p>
    <w:p>
      <w:pPr>
        <w:spacing w:after="72" w:before="0"/>
      </w:pPr>
      <w:r>
        <w:rPr>
          <w:rFonts w:ascii="Times New Roman" w:cs="Times New Roman" w:eastAsia="Times New Roman" w:hAnsi="Times New Roman"/>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000"/>
        <w:gridCol w:w="1000"/>
        <w:gridCol w:w="1000"/>
        <w:gridCol w:w="13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Protein</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Folds in top-20</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Fold 1</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Fold 2</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Fold 3</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Fold 4</w:t>
            </w:r>
          </w:p>
        </w:tc>
        <w:tc>
          <w:tcPr>
            <w:tcW w:type="dxa" w:w="1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Fold 5 / Note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000000"/>
                <w:sz w:val="18"/>
                <w:szCs w:val="18"/>
              </w:rPr>
              <w:t xml:space="preserve">KDIGO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18"/>
                <w:szCs w:val="18"/>
              </w:rPr>
              <w:t xml:space="preserve">AKT1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000000"/>
                <w:sz w:val="18"/>
                <w:szCs w:val="18"/>
              </w:rPr>
              <w:t xml:space="preserve">HAMP</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18"/>
                <w:szCs w:val="18"/>
              </w:rPr>
              <w:t xml:space="preserve">PPBP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000000"/>
                <w:sz w:val="18"/>
                <w:szCs w:val="18"/>
              </w:rPr>
              <w:t xml:space="preserve">DEFA3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11</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18"/>
                <w:szCs w:val="18"/>
              </w:rPr>
              <w:t xml:space="preserve">SAA1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000000"/>
                <w:sz w:val="18"/>
                <w:szCs w:val="18"/>
              </w:rPr>
              <w:t xml:space="preserve">NPPB</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11</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12</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18"/>
                <w:szCs w:val="18"/>
              </w:rPr>
              <w:t xml:space="preserve">GSTK1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000000"/>
                <w:sz w:val="18"/>
                <w:szCs w:val="18"/>
              </w:rPr>
              <w:t xml:space="preserve">REN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18</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18"/>
                <w:szCs w:val="18"/>
              </w:rPr>
              <w:t xml:space="preserve">SAA2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17</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000000"/>
                <w:sz w:val="18"/>
                <w:szCs w:val="18"/>
              </w:rPr>
              <w:t xml:space="preserve">CRP</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16</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18"/>
                <w:szCs w:val="18"/>
              </w:rPr>
              <w:t xml:space="preserve">TNNI2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19</w:t>
            </w:r>
          </w:p>
        </w:tc>
      </w:tr>
    </w:tbl>
    <w:p>
      <w:pPr>
        <w:spacing w:after="240" w:before="60"/>
      </w:pPr>
      <w:r>
        <w:rPr>
          <w:rFonts w:ascii="Arial" w:cs="Arial" w:eastAsia="Arial" w:hAnsi="Arial"/>
          <w:i/>
          <w:iCs/>
          <w:color w:val="595959"/>
          <w:sz w:val="18"/>
          <w:szCs w:val="18"/>
        </w:rPr>
        <w:t xml:space="preserve">Mean fold-to-fold Spearman rank correlation: −0.120 [−0.213 to 0.058]. Only KDIGO Stage was consistent across all 5 folds. Rank instability at n=28 ATI events is expected; these rankings are descriptive and should not be interpreted as validated biomarkers. Full feature importance values available in artifacts/feature_rank_stability.csv in the code repository.</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95959"/>
        <w:sz w:val="18"/>
        <w:szCs w:val="18"/>
      </w:rPr>
      <w:t xml:space="preserve">ATI Proteomic Prediction v7 | Frontier Translational Research Lab, BU  </w:t>
    </w:r>
    <w:r>
      <w:rPr>
        <w:rFonts w:ascii="Arial" w:cs="Arial" w:eastAsia="Arial" w:hAnsi="Arial"/>
        <w:color w:val="595959"/>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aps/>
      <w:color w:val="1F3864"/>
      <w:sz w:val="28"/>
      <w:szCs w:val="28"/>
    </w:rPr>
  </w:style>
  <w:style w:type="paragraph" w:styleId="Heading2">
    <w:name w:val="Heading 2"/>
    <w:basedOn w:val="Normal"/>
    <w:next w:val="Normal"/>
    <w:qFormat/>
    <w:pPr>
      <w:spacing w:after="80" w:before="36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240"/>
      <w:outlineLvl w:val="2"/>
    </w:pPr>
    <w:rPr>
      <w:rFonts w:ascii="Arial" w:cs="Arial" w:eastAsia="Arial" w:hAnsi="Arial"/>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2026-04-12T21:50:44.160Z</dcterms:created>
  <dcterms:modified xsi:type="dcterms:W3CDTF">2026-04-12T21:50:44.160Z</dcterms:modified>
</cp:coreProperties>
</file>

<file path=docProps/custom.xml><?xml version="1.0" encoding="utf-8"?>
<Properties xmlns="http://schemas.openxmlformats.org/officeDocument/2006/custom-properties" xmlns:vt="http://schemas.openxmlformats.org/officeDocument/2006/docPropsVTypes"/>
</file>