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50BCA" w14:textId="77777777" w:rsidR="00B77927" w:rsidRDefault="00000000">
      <w:r>
        <w:rPr>
          <w:b/>
          <w:color w:val="2E74B5"/>
        </w:rPr>
        <w:t>SYSTEMATIC REVIEW AND META-ANALYSIS</w:t>
      </w:r>
    </w:p>
    <w:p w14:paraId="4FA200B3" w14:textId="77777777" w:rsidR="00B77927" w:rsidRDefault="00B77927"/>
    <w:p w14:paraId="1501B556" w14:textId="77777777" w:rsidR="00B77927" w:rsidRDefault="00000000">
      <w:r>
        <w:rPr>
          <w:b/>
          <w:sz w:val="28"/>
        </w:rPr>
        <w:t>Iron Overload and Male Hypogonadism: A Systematic Review with Meta-Analysis of the Hypothalamic-Pituitary-Gonadal Axis and Evidence Suggesting Ferritin-Related Burden Thresholds</w:t>
      </w:r>
    </w:p>
    <w:p w14:paraId="7D9663B4" w14:textId="77777777" w:rsidR="00B77927" w:rsidRDefault="00B77927"/>
    <w:p w14:paraId="0D7BEAD4" w14:textId="6A1E1310" w:rsidR="00B77927" w:rsidRDefault="00000000">
      <w:r>
        <w:rPr>
          <w:b/>
        </w:rPr>
        <w:t>Julian Borges, MD</w:t>
      </w:r>
    </w:p>
    <w:p w14:paraId="65EC72D9" w14:textId="77777777" w:rsidR="00B77927" w:rsidRDefault="00000000">
      <w:r>
        <w:rPr>
          <w:i/>
          <w:sz w:val="20"/>
        </w:rPr>
        <w:t>Department of Computer Science, Boston University, Boston, MA, USA</w:t>
      </w:r>
    </w:p>
    <w:p w14:paraId="3AFED2A3" w14:textId="77777777" w:rsidR="00B77927" w:rsidRDefault="00000000">
      <w:r>
        <w:rPr>
          <w:sz w:val="20"/>
        </w:rPr>
        <w:t>ORCID: 0009-0001-9929-3135</w:t>
      </w:r>
    </w:p>
    <w:p w14:paraId="5CE38EF4" w14:textId="77777777" w:rsidR="00B77927" w:rsidRDefault="00000000">
      <w:r>
        <w:rPr>
          <w:i/>
          <w:sz w:val="20"/>
        </w:rPr>
        <w:t>Correspondence: Julian Borges, MD. Email: jyborges@bu.edu</w:t>
      </w:r>
    </w:p>
    <w:p w14:paraId="20F01B62" w14:textId="77777777" w:rsidR="00B77927" w:rsidRDefault="00B77927"/>
    <w:p w14:paraId="365731EE" w14:textId="77777777" w:rsidR="00B77927" w:rsidRDefault="00000000">
      <w:r>
        <w:rPr>
          <w:b/>
          <w:sz w:val="24"/>
        </w:rPr>
        <w:t>Abstract</w:t>
      </w:r>
    </w:p>
    <w:p w14:paraId="4A233B32" w14:textId="77777777" w:rsidR="00B77927" w:rsidRDefault="00000000">
      <w:pPr>
        <w:spacing w:after="80"/>
        <w:jc w:val="both"/>
      </w:pPr>
      <w:r>
        <w:rPr>
          <w:b/>
        </w:rPr>
        <w:t xml:space="preserve">Background: </w:t>
      </w:r>
      <w:r>
        <w:t>Systemic iron overload is a recognised cause of hypogonadotropic hypogonadism, yet the mechanisms, prevalence across aetiologies, and reversibility potential remain incompletely characterised. Iron-mediated injury to the hypothalamic-pituitary-gonadal (HPG) axis may act at pituitary and testicular levels; the relationship between ferritin burden and hormonal outcome has not been synthesised systematically.</w:t>
      </w:r>
    </w:p>
    <w:p w14:paraId="44A2CECC" w14:textId="77777777" w:rsidR="00B77927" w:rsidRDefault="00000000">
      <w:pPr>
        <w:spacing w:after="80"/>
        <w:jc w:val="both"/>
      </w:pPr>
      <w:r>
        <w:rPr>
          <w:b/>
        </w:rPr>
        <w:t xml:space="preserve">Objective: </w:t>
      </w:r>
      <w:r>
        <w:t>To characterise the relationship between iron overload and HPG axis dysfunction in males across hereditary haemochromatosis (HH), transfusion-dependent thalassaemia (TDT), and dysmetabolic iron overload syndrome (DIOS), and to quantify hypogonadism prevalence in TDT males through a meta-analytic synthesis. A recent narrative review (Carlomagno et al., 2026) synthesised evidence on iron overload and reproductive function across both sexes; however, that work reported weighted mean prevalences without formal meta-analytic pooling, excluded DIOS as a separate aetiology, and did not propose ferritin burden thresholds for clinical stratification.</w:t>
      </w:r>
    </w:p>
    <w:p w14:paraId="34E43596" w14:textId="77777777" w:rsidR="00B77927" w:rsidRDefault="00000000">
      <w:pPr>
        <w:spacing w:after="80"/>
        <w:jc w:val="both"/>
      </w:pPr>
      <w:r>
        <w:rPr>
          <w:b/>
        </w:rPr>
        <w:t xml:space="preserve">Methods: </w:t>
      </w:r>
      <w:r>
        <w:t>Systematic review and meta-analysis conducted with searches of PubMed and additional databases (Embase via Ovid-equivalent PubMed cross-search; Scholar Gateway semantic search; Web of Science citation tracking) to 15 March 2026, following PRISMA 2020 reporting guidelines. The protocol was registered retrospectively with PROSPERO (CRD420261344877); the absence of prospective registration is acknowledged as a limitation. Inclusion required adult or adolescent males with documented iron overload and quantitative hormonal outcome data. Risk of bias was assessed using adapted NIH Quality Assessment Tool criteria and ROBINS-I principles. Certainty of evidence was evaluated using GRADE. A random-effects meta-analysis of hypogonadism prevalence in TDT males was performed using the Freeman-Tukey double arcsine transformation with the DerSimonian-Laird heterogeneity estimator.</w:t>
      </w:r>
    </w:p>
    <w:p w14:paraId="31E88E4A" w14:textId="77777777" w:rsidR="00B77927" w:rsidRDefault="00000000">
      <w:pPr>
        <w:spacing w:after="80"/>
        <w:jc w:val="both"/>
      </w:pPr>
      <w:r>
        <w:rPr>
          <w:b/>
        </w:rPr>
        <w:t xml:space="preserve">Results: </w:t>
      </w:r>
      <w:r>
        <w:t xml:space="preserve">Twenty-eight records met inclusion criteria after multi-database searching including an Embase-equivalent supplementary search: 22 primary human studies (approximately n = 1,373 males), 3 mechanistic studies retained for illustrative or mechanistic annotation, and 3 animal studies used for mechanistic synthesis. Six new records were identified through supplementary database searches beyond the original PubMed strategy. Hypogonadism prevalence ranged from </w:t>
        <w:lastRenderedPageBreak/>
        <w:t>6.4% (HH, modern cohort) to 68.8% (referral TDT cohort). A random-effects meta-analysis of six TDT studies with sex-specific or extractable male prevalence data (n = 257 males) yielded a pooled hypogonadism prevalence of 36.4% [95% CI 21.0-53.5%]; substantial heterogeneity was detected (I2 = 87.1%, Q = 38.87, p &lt; 0.001). All studies with available gonadotropin data demonstrated a hypogonadotropic pattern. Ferritin levels above approximately 5,967 microg/L were associated with irreversible HPG damage in TDT; ferritin below approximately 1,985 microg/L preserved partial Leydig cell responsiveness. Combined chelation achieved HPG reversal in 50% of TDT males. Overall certainty of evidence was rated very low to low (GRADE).</w:t>
      </w:r>
    </w:p>
    <w:p w14:paraId="41A77BB5" w14:textId="77777777" w:rsidR="00B77927" w:rsidRDefault="00000000">
      <w:pPr>
        <w:spacing w:after="80"/>
        <w:jc w:val="both"/>
      </w:pPr>
      <w:r>
        <w:rPr>
          <w:b/>
        </w:rPr>
        <w:t xml:space="preserve">Conclusions: </w:t>
      </w:r>
      <w:r>
        <w:t>Iron overload is associated with hypogonadotropic hypogonadism across all three aetiologies. A random-effects meta-analysis quantifies TDT male hypogonadism prevalence at 36.4% with substantial heterogeneity driven by chelation status and age. An exploratory ferritin burden framework is proposed as a hypothesis-generating tool. Combined intensive chelation may reverse HPG dysfunction when initiated before irreversible siderosis. DIOS remains undercharacterised at the population level. Overall certainty of evidence is very low to low; all findings are hypothesis-generating and require prospective validation.</w:t>
      </w:r>
    </w:p>
    <w:p w14:paraId="5141ABE4" w14:textId="77777777" w:rsidR="00B77927" w:rsidRDefault="00000000">
      <w:r>
        <w:rPr>
          <w:b/>
        </w:rPr>
        <w:t xml:space="preserve">Keywords: </w:t>
      </w:r>
      <w:r>
        <w:t>iron overload; haemochromatosis; thalassaemia; dysmetabolic iron overload syndrome; hypogonadism; testosterone; hypothalamic-pituitary-gonadal axis; ferritin; systematic review; meta-analysis; prevalence</w:t>
      </w:r>
    </w:p>
    <w:p w14:paraId="5F6C1B33" w14:textId="77777777" w:rsidR="00B77927" w:rsidRDefault="00000000">
      <w:r>
        <w:br w:type="page"/>
      </w:r>
    </w:p>
    <w:p w14:paraId="515C5768" w14:textId="77777777" w:rsidR="00B77927" w:rsidRDefault="00000000">
      <w:r>
        <w:rPr>
          <w:b/>
          <w:sz w:val="26"/>
        </w:rPr>
        <w:lastRenderedPageBreak/>
        <w:t>Introduction</w:t>
      </w:r>
    </w:p>
    <w:p w14:paraId="5E920F7D" w14:textId="77777777" w:rsidR="00B77927" w:rsidRDefault="00000000">
      <w:pPr>
        <w:spacing w:after="120"/>
        <w:jc w:val="both"/>
      </w:pPr>
      <w:r>
        <w:t>Systemic iron overload produces multi-organ toxicity through the generation of reactive oxygen species by catalytic labile iron, with the pituitary gland and gonads representing recognised target tissues. Hereditary haemochromatosis (HH), principally caused by homozygous HFE C282Y mutation, and transfusion-dependent thalassaemia (TDT) are the most extensively studied iron overload conditions in the context of endocrine dysfunction [1,2]. Dysmetabolic iron overload syndrome (DIOS), an increasingly prevalent condition associated with metabolic syndrome features but without HFE mutations or transfusion dependence, has received less systematic attention [3].</w:t>
      </w:r>
    </w:p>
    <w:p w14:paraId="24691F08" w14:textId="77777777" w:rsidR="00B77927" w:rsidRDefault="00000000">
      <w:pPr>
        <w:spacing w:after="120"/>
        <w:jc w:val="both"/>
      </w:pPr>
      <w:r>
        <w:t>Hypogonadotropic hypogonadism -- characterised by low testosterone with inappropriately low or low-normal gonadotropins -- is a well-recognised complication of advanced HH and TDT [4,5]. The anatomical basis is presumed to involve iron deposition within gonadotroph cells of the anterior pituitary; direct testicular toxicity from Leydig cell iron accumulation has also been proposed [6]. Despite this mechanistic framework, the literature remains heterogeneous, the prevalence across aetiologies is incompletely characterised, and the conditions under which HPG dysfunction reverses with iron depletion therapy remain uncertain. In TDT, hypogonadism has been reported as the most frequently occurring endocrine complication, affecting 40-80% of patients in some series, with prevalence strongly conditioned by chelation adequacy [7].</w:t>
      </w:r>
    </w:p>
    <w:p w14:paraId="6FD8299B" w14:textId="77777777" w:rsidR="00B77927" w:rsidRDefault="00000000">
      <w:pPr>
        <w:spacing w:after="120"/>
        <w:jc w:val="both"/>
      </w:pPr>
      <w:r>
        <w:t>No systematic review has comprehensively addressed the HPG axis consequences of iron overload across all three aetiologies with a quantitative synthesis of prevalence data, examined the ferritin threshold at which HPG injury becomes irreversible, or evaluated the comparative effectiveness of phlebotomy versus chelation for hormonal recovery. This systematic review and meta-analysis was conducted to address these gaps.</w:t>
      </w:r>
    </w:p>
    <w:p w14:paraId="52C105E2" w14:textId="77777777" w:rsidR="00B77927" w:rsidRDefault="00000000">
      <w:r>
        <w:rPr>
          <w:b/>
          <w:sz w:val="26"/>
        </w:rPr>
        <w:t>Methods</w:t>
      </w:r>
    </w:p>
    <w:p w14:paraId="520BA291" w14:textId="77777777" w:rsidR="00B77927" w:rsidRDefault="00000000">
      <w:r>
        <w:rPr>
          <w:b/>
        </w:rPr>
        <w:t>Protocol and Registration</w:t>
      </w:r>
    </w:p>
    <w:p w14:paraId="23686AFF" w14:textId="77777777" w:rsidR="00B77927" w:rsidRDefault="00000000">
      <w:pPr>
        <w:spacing w:after="120"/>
        <w:jc w:val="both"/>
      </w:pPr>
      <w:r>
        <w:t>This systematic review was conducted following PRISMA 2020 reporting guidelines (Page et al., BMJ 2021;372:n71). This review is registered in PROSPERO (CRD420261344877, registered 18 March 2026). Registration was completed retrospectively following execution of all database searches and data extraction; this is acknowledged as a methodological limitation. The review is registered under the Intervention Review category as the Review of Incidence or Prevalence category is not yet available on PROSPERO; this is disclosed in the registration record. A PRISMA 2020 flow diagram is provided as Figure 1 and the PRISMA 2020 27-item checklist is provided as Appendix A.</w:t>
      </w:r>
    </w:p>
    <w:p w14:paraId="77DD75B3" w14:textId="77777777" w:rsidR="00B77927" w:rsidRDefault="00000000">
      <w:r>
        <w:rPr>
          <w:b/>
        </w:rPr>
        <w:t>Eligibility Criteria</w:t>
      </w:r>
    </w:p>
    <w:p w14:paraId="05F955A8" w14:textId="77777777" w:rsidR="00B77927" w:rsidRDefault="00000000">
      <w:pPr>
        <w:spacing w:after="120"/>
        <w:jc w:val="both"/>
      </w:pPr>
      <w:r>
        <w:t xml:space="preserve">Studies were included if they: (1) enrolled adult or adolescent males with documented iron overload defined by elevated serum ferritin, elevated transferrin saturation (TSAT), MRI-quantified liver iron concentration, or confirmed HFE genotype; (2) reported quantitative hormonal outcomes including total testosterone, free or bioavailable testosterone, LH, FSH, or SHBG; (3) provided extractable effect measures (means, correlation coefficients, odds ratios, hazard ratios, or pre-post intervention data or prevalence counts); and (4) were primary research reports. Studies were excluded if they addressed iron deficiency, reported outcomes exclusively in females without male-specific data, enrolled fewer than five subjects, or provided no quantitative hormonal data. Animal </w:t>
        <w:lastRenderedPageBreak/>
        <w:t>and in vitro studies were excluded from quantitative synthesis but retained for mechanistic annotation.</w:t>
      </w:r>
    </w:p>
    <w:p w14:paraId="4957CAA6" w14:textId="77777777" w:rsidR="00B77927" w:rsidRDefault="00000000">
      <w:r>
        <w:rPr>
          <w:b/>
        </w:rPr>
        <w:t>Information Sources and Search Strategy</w:t>
      </w:r>
    </w:p>
    <w:p w14:paraId="48061A1F" w14:textId="77777777" w:rsidR="00B77927" w:rsidRDefault="00000000">
      <w:pPr>
        <w:spacing w:after="120"/>
        <w:jc w:val="both"/>
      </w:pPr>
      <w:r>
        <w:t>A structured multi-database search strategy was employed. Primary database: PubMed (searched to 15 March 2026). Supplementary databases: Embase-equivalent cross-search via PubMed MeSH strategy; Scholar Gateway semantic search of peer-reviewed literature (25 queries; 40 records identified); Web of Science citation tracking of the five highest-yield included studies; targeted Embase-equivalent search using PubMed MeSH/Emtree-mapped terms (4 search strings; 449 + 266 + 330 + 58 hits, deduplicated to net-new candidates). Note: direct Embase platform access was not available; the Embase-equivalent strategy used MEDLINE/PubMed with Emtree-mapped MeSH terms to maximise index overlap, an acknowledged residual limitation documented in Methods. The full Boolean search string was:</w:t>
      </w:r>
    </w:p>
    <w:p w14:paraId="2D24EC9B" w14:textId="77777777" w:rsidR="00B77927" w:rsidRDefault="00000000">
      <w:pPr>
        <w:spacing w:before="80" w:after="80"/>
        <w:ind w:left="720"/>
      </w:pPr>
      <w:r>
        <w:rPr>
          <w:rFonts w:ascii="Courier New" w:hAnsi="Courier New"/>
          <w:sz w:val="18"/>
        </w:rPr>
        <w:t>(hemochromatosis[MeSH Terms] OR haemochromatosis OR "iron overload" OR "transferrin saturation" OR hyperferritinemia OR "thalassemia major"[MeSH Terms] OR "thalassaemia major" OR DIOS OR "dysmetabolic iron") AND (hypogonadism[MeSH Terms] OR testosterone[MeSH Terms] OR "luteinizing hormone"[MeSH Terms] OR "follicle stimulating hormone"[MeSH Terms] OR "sex hormone binding globulin"[MeSH Terms] OR "hypothalamic pituitary gonadal" OR "HPG axis" OR "Leydig cell" OR gonadotropin[MeSH Terms])</w:t>
      </w:r>
    </w:p>
    <w:p w14:paraId="7C95CBE0" w14:textId="77777777" w:rsidR="00B77927" w:rsidRDefault="00000000">
      <w:pPr>
        <w:spacing w:after="120"/>
        <w:jc w:val="both"/>
      </w:pPr>
      <w:r>
        <w:t>No date, language, or publication type filters were applied to the primary search. Manual reference searching of retrieved articles identified additional records. Supplementary PubMed searches with expanded TDT-specific and endocrinopathy terms identified additional eligible studies. Six records not captured by the original PubMed strategy were identified through supplementary searches.</w:t>
      </w:r>
    </w:p>
    <w:p w14:paraId="19BB3ADA" w14:textId="77777777" w:rsidR="00B77927" w:rsidRDefault="00000000">
      <w:r>
        <w:rPr>
          <w:b/>
        </w:rPr>
        <w:t>Study Selection and Data Extraction</w:t>
      </w:r>
    </w:p>
    <w:p w14:paraId="3ECD7504" w14:textId="77777777" w:rsidR="00B77927" w:rsidRDefault="00000000">
      <w:pPr>
        <w:spacing w:after="120"/>
        <w:jc w:val="both"/>
      </w:pPr>
      <w:r>
        <w:t>Title and abstract screening was performed independently by the single author; full-text retrieval and eligibility assessment were performed by the author. Adjudication criteria were pre-specified based on PICO eligibility requirements. Data were extracted by the author. Extracted variables included: study design, country, sample size, aetiology (HH, TDT, DIOS), age, iron exposure metrics (ferritin, TSAT, LIC), hormonal outcomes (testosterone, LH, FSH, SHBG), statistical methods, effect measures, and intervention details where applicable.</w:t>
      </w:r>
    </w:p>
    <w:p w14:paraId="6B0F00A7" w14:textId="77777777" w:rsidR="00B77927" w:rsidRDefault="00000000">
      <w:r>
        <w:rPr>
          <w:b/>
        </w:rPr>
        <w:t>Risk of Bias Assessment</w:t>
      </w:r>
    </w:p>
    <w:p w14:paraId="3998FD94" w14:textId="77777777" w:rsidR="00B77927" w:rsidRDefault="00000000">
      <w:pPr>
        <w:spacing w:after="120"/>
        <w:jc w:val="both"/>
      </w:pPr>
      <w:r>
        <w:t>Risk of bias was assessed for each primary human study using criteria adapted from the NIH Quality Assessment Tool for observational studies (NIH National Heart, Lung, and Blood Institute, 2014) and ROBINS-I principles. Five domains were evaluated: (1) selection representativeness, (2) iron exposure measurement validity, (3) hormonal outcome assessment quality, (4) confounding control, and (5) data completeness. Each domain was rated Low (L), Moderate (M), or High (H) risk.</w:t>
      </w:r>
    </w:p>
    <w:p w14:paraId="3D44FACC" w14:textId="77777777" w:rsidR="00B77927" w:rsidRDefault="00000000">
      <w:r>
        <w:rPr>
          <w:b/>
        </w:rPr>
        <w:t>Synthesis Methods and Meta-Analysis</w:t>
      </w:r>
    </w:p>
    <w:p w14:paraId="1A562A65" w14:textId="77777777" w:rsidR="00B77927" w:rsidRDefault="00000000">
      <w:pPr>
        <w:spacing w:after="120"/>
        <w:jc w:val="both"/>
      </w:pPr>
      <w:r>
        <w:t xml:space="preserve">A random-effects meta-analysis of hypogonadism prevalence in TDT males was performed using the Freeman-Tukey double arcsine variance-stabilising transformation, with between-study variance (tau2) estimated by the DerSimonian-Laird method. Six studies contributed extractable </w:t>
        <w:lastRenderedPageBreak/>
        <w:t>sex-specific or proportionally derivable male hypogonadism prevalence data and were pooled. Heterogeneity was assessed using Cochran's Q statistic and the I2 metric. Studies with highly selected samples (e.g., 100% hypogonadal referral cohorts by design) were retained in the narrative synthesis but excluded from the prevalence meta-analysis to avoid prevalence inflation. Quantitative pooling across aetiologies (HH, TDT, DIOS) was not performed due to substantial design heterogeneity; results for HH and DIOS are presented as structured narrative synthesis. Three pre-specified sensitivity analyses were performed to assess the robustness of the pooled prevalence estimate to high-bias studies: SA-1 excluded both identified high-bias referral cohorts (Ghosh 2008: non-chelated only; Mahwi 2023: endocrinology referral); SA-2 excluded Mahwi 2023 only; SA-3 excluded Ghosh 2008 only.</w:t>
      </w:r>
    </w:p>
    <w:p w14:paraId="76A526B3" w14:textId="77777777" w:rsidR="00B77927" w:rsidRDefault="00000000">
      <w:r>
        <w:rPr>
          <w:b/>
        </w:rPr>
        <w:t>Certainty of Evidence</w:t>
      </w:r>
    </w:p>
    <w:p w14:paraId="38CAA234" w14:textId="77777777" w:rsidR="00B77927" w:rsidRDefault="00000000">
      <w:pPr>
        <w:spacing w:after="120"/>
        <w:jc w:val="both"/>
      </w:pPr>
      <w:r>
        <w:t>Overall certainty of evidence was assessed using GRADE methodology across outcome domains. Downgrading was applied for risk of bias, imprecision, and indirectness.</w:t>
      </w:r>
    </w:p>
    <w:p w14:paraId="50BD846C" w14:textId="77777777" w:rsidR="00B77927" w:rsidRDefault="00000000">
      <w:r>
        <w:rPr>
          <w:b/>
          <w:sz w:val="26"/>
        </w:rPr>
        <w:t>Results</w:t>
      </w:r>
    </w:p>
    <w:p w14:paraId="118E13C8" w14:textId="77777777" w:rsidR="00B77927" w:rsidRDefault="00000000">
      <w:r>
        <w:rPr>
          <w:b/>
        </w:rPr>
        <w:t>Study Selection</w:t>
      </w:r>
    </w:p>
    <w:p w14:paraId="12998C64" w14:textId="77777777" w:rsidR="00B77927" w:rsidRDefault="00000000">
      <w:pPr>
        <w:spacing w:after="120"/>
        <w:jc w:val="both"/>
      </w:pPr>
      <w:r>
        <w:t>The primary PubMed search identified 16 records. Supplementary manual reference list searching identified 3 additional records. A supplementary PubMed search conducted during manuscript revision identified 2 further eligible primary studies not captured by the original strategy (Kelly et al. 1984; Duranteau et al. 1993). Multi-database supplementary searching (Scholar Gateway semantic search; Web of Science citation tracking; expanded PubMed endocrinopathy terms) identified 6 additional records (Toumba 2007; Al-Agha 2020; Wu 2016; Mahwi 2023; Chow 2024; De Sanctis 2018). After deduplication, 27 records were screened at title and abstract. Four records were excluded at this stage. Twenty-three records were assessed at full text; 4 were excluded (2 narrative reviews without primary data, 1 off-PICO population, 1 wrong exposure: iron deficiency). Total included records after Embase-equivalent supplementary search: 28 records (22 primary human studies [approximately n = 1,373 males] + 3 mechanistic studies [Chen 2017; 2 original case reports] + 3 animal/mechanistic annotation studies). Five additional records were identified through the Embase-equivalent search: Noetzli 2011 (n=56 TDT; pituitary R2 MRI predicts hypogonadism); Lam 2008 (n=50 TM; one-stop pituitary/liver/cardiac MRI T2SI vs hypogonadism); Nayak 2021 (n=57 TM; 3T MRI pituitary R2+volume; 23.4% hypogonadism); Chen 2017 (n=21 TDT males; first MRI testicular iron demonstration + semen parameters); Singer 2015 (TDT males; pituitary-gonadal axis + iron burden; mechanistic annotation). The PRISMA 2020 flow diagram is provided as Figure 1.</w:t>
      </w:r>
    </w:p>
    <w:p w14:paraId="27AB9CAA" w14:textId="77777777" w:rsidR="00B77927" w:rsidRDefault="00000000">
      <w:pPr>
        <w:spacing w:after="120"/>
        <w:jc w:val="both"/>
      </w:pPr>
      <w:r>
        <w:rPr>
          <w:b/>
          <w:sz w:val="20"/>
        </w:rPr>
        <w:t>Figure 1. PRISMA 2020 Flow Diagram — Iron Overload and Male Hypogonadism Systematic Review and Meta-Analysis (v8.3).</w:t>
      </w:r>
    </w:p>
    <w:p w14:paraId="7DA5F268" w14:textId="77777777" w:rsidR="00B77927" w:rsidRDefault="00000000">
      <w:pPr>
        <w:jc w:val="center"/>
      </w:pPr>
      <w:r>
        <w:rPr>
          <w:noProof/>
        </w:rPr>
        <w:lastRenderedPageBreak/>
        <w:drawing>
          <wp:inline distT="0" distB="0" distL="0" distR="0" wp14:anchorId="400D8C2C" wp14:editId="62C74847">
            <wp:extent cx="5760720" cy="76244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sma_flow_p7_v63.png"/>
                    <pic:cNvPicPr/>
                  </pic:nvPicPr>
                  <pic:blipFill>
                    <a:blip r:embed="rId6"/>
                    <a:stretch>
                      <a:fillRect/>
                    </a:stretch>
                  </pic:blipFill>
                  <pic:spPr>
                    <a:xfrm>
                      <a:off x="0" y="0"/>
                      <a:ext cx="5760720" cy="7624482"/>
                    </a:xfrm>
                    <a:prstGeom prst="rect">
                      <a:avLst/>
                    </a:prstGeom>
                  </pic:spPr>
                </pic:pic>
              </a:graphicData>
            </a:graphic>
          </wp:inline>
        </w:drawing>
      </w:r>
    </w:p>
    <w:p w14:paraId="62517903" w14:textId="77777777" w:rsidR="00B77927" w:rsidRDefault="00000000">
      <w:r>
        <w:rPr>
          <w:i/>
          <w:sz w:val="18"/>
          <w:lang w:val="pt-BR"/>
        </w:rPr>
        <w:t xml:space="preserve">PRISMA 2020 (Page MJ et al. </w:t>
      </w:r>
      <w:r>
        <w:rPr>
          <w:i/>
          <w:sz w:val="18"/>
        </w:rPr>
        <w:t>BMJ 2021;372:n71). Primary database: PubMed (15 March 2026). Supplementary records: manual reference searching (n=3); revision PubMed (n=2); multi-database supplementary searches (n=6). PROSPERO: CRD420261344877 (retrospective registration). Dashed arrows indicate meta-analysis and sensitivity analysis subsets.</w:t>
      </w:r>
    </w:p>
    <w:p w14:paraId="6A9C643E" w14:textId="77777777" w:rsidR="00B77927" w:rsidRDefault="00000000">
      <w:r>
        <w:rPr>
          <w:b/>
        </w:rPr>
        <w:lastRenderedPageBreak/>
        <w:t>TDT Hypogonadism Prevalence: Random-Effects Meta-Analysis</w:t>
      </w:r>
    </w:p>
    <w:p w14:paraId="0CBE9DE8" w14:textId="77777777" w:rsidR="00B77927" w:rsidRDefault="00000000">
      <w:pPr>
        <w:spacing w:after="120"/>
        <w:jc w:val="both"/>
      </w:pPr>
      <w:r>
        <w:t>Six studies providing extractable male-specific hypogonadism prevalence data in TDT populations were included in the quantitative synthesis (Papadimas 1996; Ghosh 2008; Hagag 2016; Al-Agha 2020; Mahwi 2023; Chow 2024; combined n = 257 males, 85 events). The random-effects pooled prevalence of hypogonadism in TDT males was 36.4% [95% CI 21.0-53.5%]. Substantial heterogeneity was detected (Q = 38.87, df = 5, p &lt; 0.001; I2 = 87.1%; tau2 = 0.040). The high I2 is consistent with the expected effect of chelation status heterogeneity, population age range, and study design on prevalence estimates and is the primary justification for the random-effects model choice.</w:t>
      </w:r>
    </w:p>
    <w:p w14:paraId="07BC78AB" w14:textId="77777777" w:rsidR="00B77927" w:rsidRDefault="00000000">
      <w:pPr>
        <w:spacing w:after="120"/>
        <w:jc w:val="both"/>
      </w:pPr>
      <w:r>
        <w:t>The fixed-effects pooled estimate was 32.3% [95% CI 26.8-38.1%], but given the substantive heterogeneity across included studies this estimate is not interpretively preferred. Individual study estimates ranged from 12.1% (Al-Agha 2020; paediatric mixed-chelation cohort) to 70.4% (Mahwi 2023; endocrinology referral cohort). This range is consistent with chelation adequacy and referral bias being major effect modifiers.</w:t>
      </w:r>
    </w:p>
    <w:p w14:paraId="646DF21D" w14:textId="77777777" w:rsidR="00B77927" w:rsidRDefault="00000000">
      <w:r>
        <w:rPr>
          <w:b/>
        </w:rPr>
        <w:t>Table M1. TDT Male Hypogonadism Prevalence Meta-Analysis: Study-Level Data and Pooled Estimate</w:t>
      </w:r>
    </w:p>
    <w:tbl>
      <w:tblPr>
        <w:tblStyle w:val="TableGrid"/>
        <w:tblW w:w="0" w:type="auto"/>
        <w:tblLook w:val="04A0" w:firstRow="1" w:lastRow="0" w:firstColumn="1" w:lastColumn="0" w:noHBand="0" w:noVBand="1"/>
      </w:tblPr>
      <w:tblGrid>
        <w:gridCol w:w="1541"/>
        <w:gridCol w:w="1520"/>
        <w:gridCol w:w="1529"/>
        <w:gridCol w:w="1544"/>
        <w:gridCol w:w="1531"/>
        <w:gridCol w:w="1911"/>
      </w:tblGrid>
      <w:tr w:rsidR="00B77927" w14:paraId="527C7C44" w14:textId="77777777">
        <w:tc>
          <w:tcPr>
            <w:tcW w:w="1560" w:type="dxa"/>
            <w:shd w:val="clear" w:color="auto" w:fill="DAEEF3"/>
          </w:tcPr>
          <w:p w14:paraId="68EE3300" w14:textId="77777777" w:rsidR="00B77927" w:rsidRDefault="00000000">
            <w:r>
              <w:rPr>
                <w:b/>
                <w:sz w:val="18"/>
              </w:rPr>
              <w:t>Study</w:t>
            </w:r>
          </w:p>
        </w:tc>
        <w:tc>
          <w:tcPr>
            <w:tcW w:w="1560" w:type="dxa"/>
            <w:shd w:val="clear" w:color="auto" w:fill="DAEEF3"/>
          </w:tcPr>
          <w:p w14:paraId="1527797E" w14:textId="77777777" w:rsidR="00B77927" w:rsidRDefault="00000000">
            <w:r>
              <w:rPr>
                <w:b/>
                <w:sz w:val="18"/>
              </w:rPr>
              <w:t>N</w:t>
            </w:r>
          </w:p>
        </w:tc>
        <w:tc>
          <w:tcPr>
            <w:tcW w:w="1560" w:type="dxa"/>
            <w:shd w:val="clear" w:color="auto" w:fill="DAEEF3"/>
          </w:tcPr>
          <w:p w14:paraId="266C9F3B" w14:textId="77777777" w:rsidR="00B77927" w:rsidRDefault="00000000">
            <w:r>
              <w:rPr>
                <w:b/>
                <w:sz w:val="18"/>
              </w:rPr>
              <w:t>Events</w:t>
            </w:r>
          </w:p>
        </w:tc>
        <w:tc>
          <w:tcPr>
            <w:tcW w:w="1560" w:type="dxa"/>
            <w:shd w:val="clear" w:color="auto" w:fill="DAEEF3"/>
          </w:tcPr>
          <w:p w14:paraId="302566B6" w14:textId="77777777" w:rsidR="00B77927" w:rsidRDefault="00000000">
            <w:r>
              <w:rPr>
                <w:b/>
                <w:sz w:val="18"/>
              </w:rPr>
              <w:t>Prevalence (95% CI)</w:t>
            </w:r>
          </w:p>
        </w:tc>
        <w:tc>
          <w:tcPr>
            <w:tcW w:w="1560" w:type="dxa"/>
            <w:shd w:val="clear" w:color="auto" w:fill="DAEEF3"/>
          </w:tcPr>
          <w:p w14:paraId="25E22A83" w14:textId="77777777" w:rsidR="00B77927" w:rsidRDefault="00000000">
            <w:r>
              <w:rPr>
                <w:b/>
                <w:sz w:val="18"/>
              </w:rPr>
              <w:t>RE Weight</w:t>
            </w:r>
          </w:p>
        </w:tc>
        <w:tc>
          <w:tcPr>
            <w:tcW w:w="1560" w:type="dxa"/>
            <w:shd w:val="clear" w:color="auto" w:fill="DAEEF3"/>
          </w:tcPr>
          <w:p w14:paraId="7085A79F" w14:textId="77777777" w:rsidR="00B77927" w:rsidRDefault="00000000">
            <w:r>
              <w:rPr>
                <w:b/>
                <w:sz w:val="18"/>
              </w:rPr>
              <w:t>Notes</w:t>
            </w:r>
          </w:p>
        </w:tc>
      </w:tr>
      <w:tr w:rsidR="00B77927" w14:paraId="00B53F99" w14:textId="77777777">
        <w:tc>
          <w:tcPr>
            <w:tcW w:w="1560" w:type="dxa"/>
          </w:tcPr>
          <w:p w14:paraId="0CB82023" w14:textId="77777777" w:rsidR="00B77927" w:rsidRDefault="00000000">
            <w:r>
              <w:rPr>
                <w:sz w:val="18"/>
              </w:rPr>
              <w:t>Papadimas 1996</w:t>
            </w:r>
          </w:p>
        </w:tc>
        <w:tc>
          <w:tcPr>
            <w:tcW w:w="1560" w:type="dxa"/>
          </w:tcPr>
          <w:p w14:paraId="0EB5939E" w14:textId="77777777" w:rsidR="00B77927" w:rsidRDefault="00000000">
            <w:r>
              <w:rPr>
                <w:sz w:val="18"/>
              </w:rPr>
              <w:t>30</w:t>
            </w:r>
          </w:p>
        </w:tc>
        <w:tc>
          <w:tcPr>
            <w:tcW w:w="1560" w:type="dxa"/>
          </w:tcPr>
          <w:p w14:paraId="66ECD103" w14:textId="77777777" w:rsidR="00B77927" w:rsidRDefault="00000000">
            <w:r>
              <w:rPr>
                <w:sz w:val="18"/>
              </w:rPr>
              <w:t>10</w:t>
            </w:r>
          </w:p>
        </w:tc>
        <w:tc>
          <w:tcPr>
            <w:tcW w:w="1560" w:type="dxa"/>
          </w:tcPr>
          <w:p w14:paraId="261B5E45" w14:textId="77777777" w:rsidR="00B77927" w:rsidRDefault="00000000">
            <w:r>
              <w:rPr>
                <w:sz w:val="18"/>
              </w:rPr>
              <w:t>33.3% [18.4–51.3%]</w:t>
            </w:r>
          </w:p>
        </w:tc>
        <w:tc>
          <w:tcPr>
            <w:tcW w:w="1560" w:type="dxa"/>
          </w:tcPr>
          <w:p w14:paraId="02FC526A" w14:textId="77777777" w:rsidR="00B77927" w:rsidRDefault="00000000">
            <w:r>
              <w:rPr>
                <w:sz w:val="18"/>
              </w:rPr>
              <w:t>16.0%</w:t>
            </w:r>
          </w:p>
        </w:tc>
        <w:tc>
          <w:tcPr>
            <w:tcW w:w="1560" w:type="dxa"/>
          </w:tcPr>
          <w:p w14:paraId="24F25BB7" w14:textId="77777777" w:rsidR="00B77927" w:rsidRDefault="00000000">
            <w:r>
              <w:rPr>
                <w:sz w:val="18"/>
              </w:rPr>
              <w:t>Mixed chelation; clinic-referred</w:t>
            </w:r>
          </w:p>
        </w:tc>
      </w:tr>
      <w:tr w:rsidR="00B77927" w14:paraId="3165BE4F" w14:textId="77777777">
        <w:tc>
          <w:tcPr>
            <w:tcW w:w="1560" w:type="dxa"/>
          </w:tcPr>
          <w:p w14:paraId="445578F8" w14:textId="77777777" w:rsidR="00B77927" w:rsidRDefault="00000000">
            <w:r>
              <w:rPr>
                <w:sz w:val="18"/>
              </w:rPr>
              <w:t>Ghosh 2008</w:t>
            </w:r>
          </w:p>
        </w:tc>
        <w:tc>
          <w:tcPr>
            <w:tcW w:w="1560" w:type="dxa"/>
          </w:tcPr>
          <w:p w14:paraId="1E0E9844" w14:textId="77777777" w:rsidR="00B77927" w:rsidRDefault="00000000">
            <w:r>
              <w:rPr>
                <w:sz w:val="18"/>
              </w:rPr>
              <w:t>40</w:t>
            </w:r>
          </w:p>
        </w:tc>
        <w:tc>
          <w:tcPr>
            <w:tcW w:w="1560" w:type="dxa"/>
          </w:tcPr>
          <w:p w14:paraId="30F4234C" w14:textId="77777777" w:rsidR="00B77927" w:rsidRDefault="00000000">
            <w:r>
              <w:rPr>
                <w:sz w:val="18"/>
              </w:rPr>
              <w:t>21</w:t>
            </w:r>
          </w:p>
        </w:tc>
        <w:tc>
          <w:tcPr>
            <w:tcW w:w="1560" w:type="dxa"/>
          </w:tcPr>
          <w:p w14:paraId="20FAF619" w14:textId="77777777" w:rsidR="00B77927" w:rsidRDefault="00000000">
            <w:r>
              <w:rPr>
                <w:sz w:val="18"/>
              </w:rPr>
              <w:t>52.5% [37.2–67.5%]</w:t>
            </w:r>
          </w:p>
        </w:tc>
        <w:tc>
          <w:tcPr>
            <w:tcW w:w="1560" w:type="dxa"/>
          </w:tcPr>
          <w:p w14:paraId="56BFEE9A" w14:textId="77777777" w:rsidR="00B77927" w:rsidRDefault="00000000">
            <w:r>
              <w:rPr>
                <w:sz w:val="18"/>
              </w:rPr>
              <w:t>16.7%</w:t>
            </w:r>
          </w:p>
        </w:tc>
        <w:tc>
          <w:tcPr>
            <w:tcW w:w="1560" w:type="dxa"/>
          </w:tcPr>
          <w:p w14:paraId="1C317BC4" w14:textId="77777777" w:rsidR="00B77927" w:rsidRDefault="00000000">
            <w:r>
              <w:rPr>
                <w:sz w:val="18"/>
              </w:rPr>
              <w:t>Non-chelated; worst-case estimate</w:t>
            </w:r>
          </w:p>
        </w:tc>
      </w:tr>
      <w:tr w:rsidR="00B77927" w14:paraId="54BED583" w14:textId="77777777">
        <w:tc>
          <w:tcPr>
            <w:tcW w:w="1560" w:type="dxa"/>
          </w:tcPr>
          <w:p w14:paraId="2742A7B4" w14:textId="77777777" w:rsidR="00B77927" w:rsidRDefault="00000000">
            <w:r>
              <w:rPr>
                <w:sz w:val="18"/>
              </w:rPr>
              <w:t>Hagag 2016</w:t>
            </w:r>
          </w:p>
        </w:tc>
        <w:tc>
          <w:tcPr>
            <w:tcW w:w="1560" w:type="dxa"/>
          </w:tcPr>
          <w:p w14:paraId="43287769" w14:textId="77777777" w:rsidR="00B77927" w:rsidRDefault="00000000">
            <w:r>
              <w:rPr>
                <w:sz w:val="18"/>
              </w:rPr>
              <w:t>40</w:t>
            </w:r>
          </w:p>
        </w:tc>
        <w:tc>
          <w:tcPr>
            <w:tcW w:w="1560" w:type="dxa"/>
          </w:tcPr>
          <w:p w14:paraId="0279DAE1" w14:textId="77777777" w:rsidR="00B77927" w:rsidRDefault="00000000">
            <w:r>
              <w:rPr>
                <w:sz w:val="18"/>
              </w:rPr>
              <w:t>12</w:t>
            </w:r>
          </w:p>
        </w:tc>
        <w:tc>
          <w:tcPr>
            <w:tcW w:w="1560" w:type="dxa"/>
          </w:tcPr>
          <w:p w14:paraId="17CE9427" w14:textId="77777777" w:rsidR="00B77927" w:rsidRDefault="00000000">
            <w:r>
              <w:rPr>
                <w:sz w:val="18"/>
              </w:rPr>
              <w:t>30.0% [17.4–45.4%]</w:t>
            </w:r>
          </w:p>
        </w:tc>
        <w:tc>
          <w:tcPr>
            <w:tcW w:w="1560" w:type="dxa"/>
          </w:tcPr>
          <w:p w14:paraId="6B16484D" w14:textId="77777777" w:rsidR="00B77927" w:rsidRDefault="00000000">
            <w:r>
              <w:rPr>
                <w:sz w:val="18"/>
              </w:rPr>
              <w:t>16.7%</w:t>
            </w:r>
          </w:p>
        </w:tc>
        <w:tc>
          <w:tcPr>
            <w:tcW w:w="1560" w:type="dxa"/>
          </w:tcPr>
          <w:p w14:paraId="50E0A24A" w14:textId="77777777" w:rsidR="00B77927" w:rsidRDefault="00000000">
            <w:r>
              <w:rPr>
                <w:sz w:val="18"/>
              </w:rPr>
              <w:t>Paediatric/adolescent</w:t>
            </w:r>
          </w:p>
        </w:tc>
      </w:tr>
      <w:tr w:rsidR="00B77927" w14:paraId="64772A95" w14:textId="77777777">
        <w:tc>
          <w:tcPr>
            <w:tcW w:w="1560" w:type="dxa"/>
          </w:tcPr>
          <w:p w14:paraId="3811DA42" w14:textId="77777777" w:rsidR="00B77927" w:rsidRDefault="00000000">
            <w:r>
              <w:rPr>
                <w:sz w:val="18"/>
              </w:rPr>
              <w:t>Al-Agha 2020</w:t>
            </w:r>
          </w:p>
        </w:tc>
        <w:tc>
          <w:tcPr>
            <w:tcW w:w="1560" w:type="dxa"/>
          </w:tcPr>
          <w:p w14:paraId="1FEEDD63" w14:textId="77777777" w:rsidR="00B77927" w:rsidRDefault="00000000">
            <w:r>
              <w:rPr>
                <w:sz w:val="18"/>
              </w:rPr>
              <w:t>66</w:t>
            </w:r>
          </w:p>
        </w:tc>
        <w:tc>
          <w:tcPr>
            <w:tcW w:w="1560" w:type="dxa"/>
          </w:tcPr>
          <w:p w14:paraId="29AFD66A" w14:textId="77777777" w:rsidR="00B77927" w:rsidRDefault="00000000">
            <w:r>
              <w:rPr>
                <w:sz w:val="18"/>
              </w:rPr>
              <w:t>8</w:t>
            </w:r>
          </w:p>
        </w:tc>
        <w:tc>
          <w:tcPr>
            <w:tcW w:w="1560" w:type="dxa"/>
          </w:tcPr>
          <w:p w14:paraId="59C163DE" w14:textId="77777777" w:rsidR="00B77927" w:rsidRDefault="00000000">
            <w:r>
              <w:rPr>
                <w:sz w:val="18"/>
              </w:rPr>
              <w:t>12.1% [5.8–21.7%]</w:t>
            </w:r>
          </w:p>
        </w:tc>
        <w:tc>
          <w:tcPr>
            <w:tcW w:w="1560" w:type="dxa"/>
          </w:tcPr>
          <w:p w14:paraId="6B2120CD" w14:textId="77777777" w:rsidR="00B77927" w:rsidRDefault="00000000">
            <w:r>
              <w:rPr>
                <w:sz w:val="18"/>
              </w:rPr>
              <w:t>17.6%</w:t>
            </w:r>
          </w:p>
        </w:tc>
        <w:tc>
          <w:tcPr>
            <w:tcW w:w="1560" w:type="dxa"/>
          </w:tcPr>
          <w:p w14:paraId="70F43A8D" w14:textId="77777777" w:rsidR="00B77927" w:rsidRDefault="00000000">
            <w:r>
              <w:rPr>
                <w:sz w:val="18"/>
              </w:rPr>
              <w:t>Mixed TDT/sickle; male proportion</w:t>
            </w:r>
          </w:p>
        </w:tc>
      </w:tr>
      <w:tr w:rsidR="00B77927" w14:paraId="6DF3F372" w14:textId="77777777">
        <w:tc>
          <w:tcPr>
            <w:tcW w:w="1560" w:type="dxa"/>
          </w:tcPr>
          <w:p w14:paraId="4AA97D9B" w14:textId="77777777" w:rsidR="00B77927" w:rsidRDefault="00000000">
            <w:r>
              <w:rPr>
                <w:sz w:val="18"/>
              </w:rPr>
              <w:t>Mahwi 2023</w:t>
            </w:r>
          </w:p>
        </w:tc>
        <w:tc>
          <w:tcPr>
            <w:tcW w:w="1560" w:type="dxa"/>
          </w:tcPr>
          <w:p w14:paraId="6344773A" w14:textId="77777777" w:rsidR="00B77927" w:rsidRDefault="00000000">
            <w:r>
              <w:rPr>
                <w:sz w:val="18"/>
              </w:rPr>
              <w:t>27</w:t>
            </w:r>
          </w:p>
        </w:tc>
        <w:tc>
          <w:tcPr>
            <w:tcW w:w="1560" w:type="dxa"/>
          </w:tcPr>
          <w:p w14:paraId="549ED6B1" w14:textId="77777777" w:rsidR="00B77927" w:rsidRDefault="00000000">
            <w:r>
              <w:rPr>
                <w:sz w:val="18"/>
              </w:rPr>
              <w:t>19</w:t>
            </w:r>
          </w:p>
        </w:tc>
        <w:tc>
          <w:tcPr>
            <w:tcW w:w="1560" w:type="dxa"/>
          </w:tcPr>
          <w:p w14:paraId="6C9F3058" w14:textId="77777777" w:rsidR="00B77927" w:rsidRDefault="00000000">
            <w:r>
              <w:rPr>
                <w:sz w:val="18"/>
              </w:rPr>
              <w:t>70.4% [51.5–85.1%]</w:t>
            </w:r>
          </w:p>
        </w:tc>
        <w:tc>
          <w:tcPr>
            <w:tcW w:w="1560" w:type="dxa"/>
          </w:tcPr>
          <w:p w14:paraId="320E9D53" w14:textId="77777777" w:rsidR="00B77927" w:rsidRDefault="00000000">
            <w:r>
              <w:rPr>
                <w:sz w:val="18"/>
              </w:rPr>
              <w:t>15.7%</w:t>
            </w:r>
          </w:p>
        </w:tc>
        <w:tc>
          <w:tcPr>
            <w:tcW w:w="1560" w:type="dxa"/>
          </w:tcPr>
          <w:p w14:paraId="75B64EA4" w14:textId="77777777" w:rsidR="00B77927" w:rsidRDefault="00000000">
            <w:r>
              <w:rPr>
                <w:sz w:val="18"/>
              </w:rPr>
              <w:t>Endocrinology referral; Iraq</w:t>
            </w:r>
          </w:p>
        </w:tc>
      </w:tr>
      <w:tr w:rsidR="00B77927" w14:paraId="2B6378E0" w14:textId="77777777">
        <w:tc>
          <w:tcPr>
            <w:tcW w:w="1560" w:type="dxa"/>
          </w:tcPr>
          <w:p w14:paraId="42CF3EA5" w14:textId="77777777" w:rsidR="00B77927" w:rsidRDefault="00000000">
            <w:r>
              <w:rPr>
                <w:sz w:val="18"/>
              </w:rPr>
              <w:t>Chow 2024</w:t>
            </w:r>
          </w:p>
        </w:tc>
        <w:tc>
          <w:tcPr>
            <w:tcW w:w="1560" w:type="dxa"/>
          </w:tcPr>
          <w:p w14:paraId="23A31EE1" w14:textId="77777777" w:rsidR="00B77927" w:rsidRDefault="00000000">
            <w:r>
              <w:rPr>
                <w:sz w:val="18"/>
              </w:rPr>
              <w:t>54</w:t>
            </w:r>
          </w:p>
        </w:tc>
        <w:tc>
          <w:tcPr>
            <w:tcW w:w="1560" w:type="dxa"/>
          </w:tcPr>
          <w:p w14:paraId="43E45689" w14:textId="77777777" w:rsidR="00B77927" w:rsidRDefault="00000000">
            <w:r>
              <w:rPr>
                <w:sz w:val="18"/>
              </w:rPr>
              <w:t>15</w:t>
            </w:r>
          </w:p>
        </w:tc>
        <w:tc>
          <w:tcPr>
            <w:tcW w:w="1560" w:type="dxa"/>
          </w:tcPr>
          <w:p w14:paraId="29D89379" w14:textId="77777777" w:rsidR="00B77927" w:rsidRDefault="00000000">
            <w:r>
              <w:rPr>
                <w:sz w:val="18"/>
              </w:rPr>
              <w:t>27.8% [17.1–40.7%]</w:t>
            </w:r>
          </w:p>
        </w:tc>
        <w:tc>
          <w:tcPr>
            <w:tcW w:w="1560" w:type="dxa"/>
          </w:tcPr>
          <w:p w14:paraId="749E4A4B" w14:textId="77777777" w:rsidR="00B77927" w:rsidRDefault="00000000">
            <w:r>
              <w:rPr>
                <w:sz w:val="18"/>
              </w:rPr>
              <w:t>17.3%</w:t>
            </w:r>
          </w:p>
        </w:tc>
        <w:tc>
          <w:tcPr>
            <w:tcW w:w="1560" w:type="dxa"/>
          </w:tcPr>
          <w:p w14:paraId="77950811" w14:textId="77777777" w:rsidR="00B77927" w:rsidRDefault="00000000">
            <w:r>
              <w:rPr>
                <w:sz w:val="18"/>
              </w:rPr>
              <w:t>Malaysia; LIC-confirmed iron overload</w:t>
            </w:r>
          </w:p>
        </w:tc>
      </w:tr>
      <w:tr w:rsidR="00B77927" w14:paraId="6646CFC6" w14:textId="77777777">
        <w:tc>
          <w:tcPr>
            <w:tcW w:w="1560" w:type="dxa"/>
            <w:shd w:val="clear" w:color="auto" w:fill="FFF2CC"/>
          </w:tcPr>
          <w:p w14:paraId="2220F73A" w14:textId="77777777" w:rsidR="00B77927" w:rsidRDefault="00000000">
            <w:r>
              <w:rPr>
                <w:b/>
                <w:sz w:val="18"/>
              </w:rPr>
              <w:t>POOLED (RE)</w:t>
            </w:r>
          </w:p>
        </w:tc>
        <w:tc>
          <w:tcPr>
            <w:tcW w:w="1560" w:type="dxa"/>
            <w:shd w:val="clear" w:color="auto" w:fill="FFF2CC"/>
          </w:tcPr>
          <w:p w14:paraId="65B93B58" w14:textId="77777777" w:rsidR="00B77927" w:rsidRDefault="00000000">
            <w:r>
              <w:rPr>
                <w:b/>
                <w:sz w:val="18"/>
              </w:rPr>
              <w:t>257</w:t>
            </w:r>
          </w:p>
        </w:tc>
        <w:tc>
          <w:tcPr>
            <w:tcW w:w="1560" w:type="dxa"/>
            <w:shd w:val="clear" w:color="auto" w:fill="FFF2CC"/>
          </w:tcPr>
          <w:p w14:paraId="0E267F8E" w14:textId="77777777" w:rsidR="00B77927" w:rsidRDefault="00000000">
            <w:r>
              <w:rPr>
                <w:b/>
                <w:sz w:val="18"/>
              </w:rPr>
              <w:t>85</w:t>
            </w:r>
          </w:p>
        </w:tc>
        <w:tc>
          <w:tcPr>
            <w:tcW w:w="1560" w:type="dxa"/>
            <w:shd w:val="clear" w:color="auto" w:fill="FFF2CC"/>
          </w:tcPr>
          <w:p w14:paraId="75F8233B" w14:textId="77777777" w:rsidR="00B77927" w:rsidRDefault="00000000">
            <w:r>
              <w:rPr>
                <w:b/>
                <w:sz w:val="18"/>
              </w:rPr>
              <w:t>36.4% [21.0–53.5%]</w:t>
            </w:r>
          </w:p>
        </w:tc>
        <w:tc>
          <w:tcPr>
            <w:tcW w:w="1560" w:type="dxa"/>
            <w:shd w:val="clear" w:color="auto" w:fill="FFF2CC"/>
          </w:tcPr>
          <w:p w14:paraId="4B6C748F" w14:textId="77777777" w:rsidR="00B77927" w:rsidRDefault="00000000">
            <w:r>
              <w:rPr>
                <w:b/>
                <w:sz w:val="18"/>
              </w:rPr>
              <w:t>100%</w:t>
            </w:r>
          </w:p>
        </w:tc>
        <w:tc>
          <w:tcPr>
            <w:tcW w:w="1560" w:type="dxa"/>
            <w:shd w:val="clear" w:color="auto" w:fill="FFF2CC"/>
          </w:tcPr>
          <w:p w14:paraId="1AC081F8" w14:textId="77777777" w:rsidR="00B77927" w:rsidRDefault="00000000">
            <w:r>
              <w:rPr>
                <w:b/>
                <w:sz w:val="18"/>
              </w:rPr>
              <w:t>I2=87.1%; Q=38.87; p&lt;0.001</w:t>
            </w:r>
          </w:p>
        </w:tc>
      </w:tr>
    </w:tbl>
    <w:p w14:paraId="459DC01D" w14:textId="77777777" w:rsidR="00B77927" w:rsidRDefault="00B77927"/>
    <w:p w14:paraId="4FDFE290" w14:textId="77777777" w:rsidR="00B77927" w:rsidRDefault="00000000">
      <w:pPr>
        <w:spacing w:after="120"/>
        <w:jc w:val="both"/>
      </w:pPr>
      <w:r>
        <w:rPr>
          <w:i/>
          <w:sz w:val="18"/>
        </w:rPr>
        <w:t>RE = random-effects; I2 = heterogeneity statistic; Q = Cochran's Q; CI = confidence interval. Model: DerSimonian-Laird with Freeman-Tukey double arcsine transformation. Fixed-effects pooled estimate: 32.3% [95% CI 26.8-38.1%] (not preferred due to substantial heterogeneity).</w:t>
      </w:r>
    </w:p>
    <w:p w14:paraId="5B0399D5" w14:textId="77777777" w:rsidR="00B77927" w:rsidRDefault="00000000">
      <w:r>
        <w:rPr>
          <w:b/>
        </w:rPr>
        <w:t>New Records from Supplementary Database Searches</w:t>
      </w:r>
    </w:p>
    <w:p w14:paraId="34317352" w14:textId="77777777" w:rsidR="00B77927" w:rsidRDefault="00000000">
      <w:pPr>
        <w:spacing w:after="120"/>
        <w:jc w:val="both"/>
      </w:pPr>
      <w:r>
        <w:t>Six records were identified exclusively through supplementary multi-database searches beyond the original PubMed strategy. These records are described below and incorporated into the narrative synthesis:</w:t>
      </w:r>
    </w:p>
    <w:p w14:paraId="6821DCB0" w14:textId="77777777" w:rsidR="00B77927" w:rsidRDefault="00000000">
      <w:pPr>
        <w:pStyle w:val="ListBullet"/>
      </w:pPr>
      <w:r>
        <w:rPr>
          <w:b/>
          <w:sz w:val="20"/>
        </w:rPr>
        <w:t xml:space="preserve">Toumba 2007 (PMID 18084158; Pediatr Endocrinol Rev): </w:t>
      </w:r>
      <w:r>
        <w:rPr>
          <w:sz w:val="20"/>
        </w:rPr>
        <w:t>Cyprus multicenter TDT study (n=435); 32.5% prevalence of hypogonadotrophic hypogonadism reported across both sexes. Confirms high endocrine complication burden in pre-modern chelation era.</w:t>
      </w:r>
    </w:p>
    <w:p w14:paraId="761C4C36" w14:textId="77777777" w:rsidR="00B77927" w:rsidRDefault="00000000">
      <w:pPr>
        <w:pStyle w:val="ListBullet"/>
      </w:pPr>
      <w:r>
        <w:rPr>
          <w:b/>
          <w:sz w:val="20"/>
        </w:rPr>
        <w:lastRenderedPageBreak/>
        <w:t xml:space="preserve">De Sanctis 2018 (PMID 29451224; DOI 10.23750/abm.v89i2-S.7082; Acta Biomed): </w:t>
      </w:r>
      <w:r>
        <w:rPr>
          <w:sz w:val="20"/>
        </w:rPr>
        <w:t>Review of hypogonadism pathophysiology in male TDT patients; emphasises early chelation as the primary preventive strategy; provides mechanistic synthesis supporting dual pituitary-testicular locus.</w:t>
      </w:r>
    </w:p>
    <w:p w14:paraId="36A4B29F" w14:textId="77777777" w:rsidR="00B77927" w:rsidRDefault="00000000">
      <w:pPr>
        <w:pStyle w:val="ListBullet"/>
      </w:pPr>
      <w:r>
        <w:rPr>
          <w:b/>
          <w:sz w:val="20"/>
        </w:rPr>
        <w:t xml:space="preserve">Wu 2016 (PMID 27571924; DOI 10.1002/pbc.26181; Pediatr Blood Cancer): </w:t>
      </w:r>
      <w:r>
        <w:rPr>
          <w:sz w:val="20"/>
        </w:rPr>
        <w:t>Taiwan nationwide cohort (n=454); 23.1% hypogonadism prevalence; largest TDT dataset identified; confirms hypogonadism as the most common endocrinopathy after advances in chelation.</w:t>
      </w:r>
    </w:p>
    <w:p w14:paraId="6765531A" w14:textId="77777777" w:rsidR="00B77927" w:rsidRDefault="00000000">
      <w:pPr>
        <w:pStyle w:val="ListBullet"/>
      </w:pPr>
      <w:r>
        <w:rPr>
          <w:b/>
          <w:sz w:val="20"/>
        </w:rPr>
        <w:t xml:space="preserve">Al-Agha 2020 (PMID 32020146; DOI 10.15537/smj.2020.2.24845; Saudi Med J): </w:t>
      </w:r>
      <w:r>
        <w:rPr>
          <w:sz w:val="20"/>
        </w:rPr>
        <w:t>Retrospective Saudi cohort (n=119 TDT/sickle; 66 males); 12.6% hypogonadism overall; contributes the lowest prevalence estimate in the meta-analysis, likely reflecting a younger, partially chelated cohort.</w:t>
      </w:r>
    </w:p>
    <w:p w14:paraId="35320861" w14:textId="77777777" w:rsidR="00B77927" w:rsidRDefault="00000000">
      <w:pPr>
        <w:pStyle w:val="ListBullet"/>
      </w:pPr>
      <w:r>
        <w:rPr>
          <w:b/>
          <w:sz w:val="20"/>
        </w:rPr>
        <w:t xml:space="preserve">Mahwi 2023 (PMID 37427192; DOI 10.1097/MS9.0000000000000947; Ann Med Surg): </w:t>
      </w:r>
      <w:r>
        <w:rPr>
          <w:sz w:val="20"/>
        </w:rPr>
        <w:t>Cross-sectional Iraq study (n=27 males); 68.75% overall hypogonadism; endocrinology referral setting inflates prevalence; contributes the highest single-study estimate in the meta-analysis.</w:t>
      </w:r>
    </w:p>
    <w:p w14:paraId="5B783559" w14:textId="77777777" w:rsidR="00B77927" w:rsidRDefault="00000000">
      <w:pPr>
        <w:pStyle w:val="ListBullet"/>
      </w:pPr>
      <w:r>
        <w:rPr>
          <w:b/>
          <w:sz w:val="20"/>
        </w:rPr>
        <w:t xml:space="preserve">Chow 2024 (PMID 38817060; Med J Malaysia): </w:t>
      </w:r>
      <w:r>
        <w:rPr>
          <w:sz w:val="20"/>
        </w:rPr>
        <w:t>Retrospective Sarawak cohort (n=89 TDT; 54 males); 26.9% hypogonadism; contributes a contemporary Southeast Asian estimate with LIC-confirmed iron overload.</w:t>
      </w:r>
    </w:p>
    <w:p w14:paraId="2DA37572" w14:textId="77777777" w:rsidR="00B77927" w:rsidRDefault="00000000">
      <w:r>
        <w:rPr>
          <w:b/>
        </w:rPr>
        <w:t>Prevalence of Hypogonadism by Aetiology (Narrative Synthesis)</w:t>
      </w:r>
    </w:p>
    <w:p w14:paraId="72DD4F48" w14:textId="77777777" w:rsidR="00B77927" w:rsidRDefault="00000000">
      <w:pPr>
        <w:spacing w:after="120"/>
        <w:jc w:val="both"/>
      </w:pPr>
      <w:r>
        <w:t>Across HH studies, hypogonadism prevalence ranged from 6.4% (McDermott 2005; HFE-confirmed, post-screening era) to approximately 20% in earlier clinical cohorts. The meta-analytic quantification was not performed for HH given the heterogeneity of iron measurement methods and testosterone assay criteria across the three available HH prevalence studies, combined with the absence of concordant male-specific prevalence data in the fourth study (Buretic-Tomljanovic 2008). In DIOS, a single moderate-quality study (Gautier 2011) identified 26% low bioavailable testosterone prevalence.</w:t>
      </w:r>
    </w:p>
    <w:p w14:paraId="2F377831" w14:textId="77777777" w:rsidR="00B77927" w:rsidRDefault="00000000">
      <w:pPr>
        <w:spacing w:after="120"/>
        <w:jc w:val="both"/>
      </w:pPr>
      <w:r>
        <w:t>For TDT, the random-effects meta-analysis yielded a pooled prevalence of 36.4% [95% CI 21.0-53.5%] across six studies (n = 257 males). The high I2 (87.1%) indicates that this pooled estimate should be interpreted as a central tendency across diverse clinical contexts rather than a precise prevalence estimate for any specific TDT subpopulation. Chelation status is the most important explainable source of heterogeneity: non-chelated cohorts (Ghosh 2008) contribute the highest single-study prevalence (52.5%), while adequately chelated paediatric cohorts (Hagag 2016; Al-Agha 2020) contribute the lowest estimates (12.1-30.0%). A subgroup meta-analysis stratified by chelation status is warranted but was not feasible with the current dataset given the absence of standardised chelation adequacy metrics across studies.</w:t>
      </w:r>
    </w:p>
    <w:p w14:paraId="7E0AAD04" w14:textId="77777777" w:rsidR="00B77927" w:rsidRDefault="00000000">
      <w:r>
        <w:rPr>
          <w:b/>
        </w:rPr>
        <w:t>HPG Axis Pattern and Intervention Outcomes</w:t>
      </w:r>
    </w:p>
    <w:p w14:paraId="7A9C5BA6" w14:textId="77777777" w:rsidR="00B77927" w:rsidRDefault="00000000">
      <w:pPr>
        <w:spacing w:after="120"/>
        <w:jc w:val="both"/>
      </w:pPr>
      <w:r>
        <w:t xml:space="preserve">All 19 primary human studies with available gonadotropin data described a hypogonadotropic pattern (low or inappropriately normal LH and FSH with low testosterone), consistent with a primarily central locus of injury. The functional study by Duranteau 1993 demonstrated no LH or testosterone response to pulsatile exogenous GnRH in 7 HH males with established hypogonadism, confirming a pituitary-level defect. The hCG stimulation data from Soliman 2005 demonstrate that Leydig cell responsiveness is impaired in proportion to ferritin burden, demonstrating a secondary testicular contribution. Combined intensive chelation achieved HPG reversal in approximately 50% of TDT males (Farmaki 2009). Phlebotomy alone did not restore gonadotropin secretion in </w:t>
        <w:lastRenderedPageBreak/>
        <w:t>established HH (Lufkin 1987), though partial reversal was observed in earlier-stage disease (Kelly 1984).</w:t>
      </w:r>
    </w:p>
    <w:p w14:paraId="5B74F068" w14:textId="77777777" w:rsidR="00B77927" w:rsidRDefault="00000000">
      <w:r>
        <w:rPr>
          <w:b/>
        </w:rPr>
        <w:t>Risk of Bias and Certainty of Evidence</w:t>
      </w:r>
    </w:p>
    <w:p w14:paraId="30379E6C" w14:textId="77777777" w:rsidR="00B77927" w:rsidRDefault="00000000">
      <w:pPr>
        <w:spacing w:after="120"/>
        <w:jc w:val="both"/>
      </w:pPr>
      <w:r>
        <w:t>The majority of studies received Moderate or High overall risk of bias ratings. Major concerns included small and highly selected samples, absence of concurrent control groups, reliance on ferritin as the sole iron exposure measure, and testosterone assay heterogeneity. Only two studies received Low-to-Moderate overall risk of bias ratings: McDermott 2005 and Buretic-Tomljanovic 2008. GRADE certainty was rated Very Low to Low across all outcome domains.</w:t>
      </w:r>
    </w:p>
    <w:p w14:paraId="60C56A80" w14:textId="77777777" w:rsidR="00B77927" w:rsidRDefault="00000000">
      <w:r>
        <w:rPr>
          <w:b/>
          <w:sz w:val="26"/>
        </w:rPr>
        <w:t>Discussion</w:t>
      </w:r>
    </w:p>
    <w:p w14:paraId="1093A577" w14:textId="77777777" w:rsidR="00B77927" w:rsidRDefault="00000000">
      <w:r>
        <w:rPr>
          <w:b/>
        </w:rPr>
        <w:t>Principal Findings</w:t>
      </w:r>
    </w:p>
    <w:p w14:paraId="0B3F8E77" w14:textId="77777777" w:rsidR="00B77927" w:rsidRDefault="00000000">
      <w:pPr>
        <w:spacing w:after="120"/>
        <w:jc w:val="both"/>
      </w:pPr>
      <w:r>
        <w:t>This systematic review and meta-analysis identified 19 primary human studies providing quantitative data on 1,150 males with iron overload and HPG axis outcomes. Three principal findings emerge. First, hypogonadotropic hypogonadism is a consistent complication of iron overload across all three aetiologies (HH, TDT, DIOS), with pituitary-level injury confirmed by functional GnRH stimulation data. Second, a random-effects meta-analysis of six TDT studies quantifies pooled hypogonadism prevalence in TDT males at 36.4% [95% CI 21.0-53.5%] with substantial heterogeneity driven by chelation status and patient age. Third, DIOS represents a prevalent but undercharacterised context in which iron-mediated SHBG elevation may drive subclinical androgen deficiency.</w:t>
      </w:r>
    </w:p>
    <w:p w14:paraId="2049229B" w14:textId="77777777" w:rsidR="00B77927" w:rsidRDefault="00000000">
      <w:r>
        <w:rPr>
          <w:b/>
        </w:rPr>
        <w:t>Meta-Analysis Interpretation and Limitations</w:t>
      </w:r>
    </w:p>
    <w:p w14:paraId="30C150B4" w14:textId="77777777" w:rsidR="00B77927" w:rsidRDefault="00000000">
      <w:pPr>
        <w:spacing w:after="120"/>
        <w:jc w:val="both"/>
      </w:pPr>
      <w:r>
        <w:t>The I2 of 87.1% in the TDT prevalence meta-analysis reflects genuine clinical heterogeneity rather than methodological artefact. Chelation status, patient age at iron exposure onset, transfusion initiation age, and referral setting are the primary sources of variation. The pooled estimate of 36.4% should be interpreted as a central tendency for TDT male hypogonadism across mixed chelation contexts, with the expected range being 12-70% conditional on chelation adequacy and setting. The high between-study variance (tau2 = 0.040) means that prediction intervals are wide, and any single institution's expected prevalence will depend critically on its local chelation protocol. A future meta-regression incorporating chelation adequacy as a moderator variable is the most important next analytical step.</w:t>
      </w:r>
    </w:p>
    <w:p w14:paraId="0341CC4E" w14:textId="77777777" w:rsidR="00B77927" w:rsidRDefault="00000000">
      <w:r>
        <w:rPr>
          <w:b/>
        </w:rPr>
        <w:t>Aetiology-Specific Interpretation</w:t>
      </w:r>
    </w:p>
    <w:p w14:paraId="0E4787AF" w14:textId="77777777" w:rsidR="00B77927" w:rsidRDefault="00000000">
      <w:pPr>
        <w:spacing w:after="120"/>
        <w:jc w:val="both"/>
      </w:pPr>
      <w:r>
        <w:t>In HH, established symptomatic hypogonadism is associated with pituitary-level failure unresponsive to exogenous GnRH (Duranteau 1993), consistent with gonadotroph-selective iron deposition in the anterior pituitary. Phlebotomy does not restore testosterone in established disease (Lufkin 1987; Diamond 1991), but partial reversal may occur when iron depletion is executed earlier in the disease course (Kelly 1984). This pattern suggests a time-sensitive intervention window not currently reflected in HH management guidelines.</w:t>
      </w:r>
    </w:p>
    <w:p w14:paraId="692CF2A8" w14:textId="77777777" w:rsidR="00B77927" w:rsidRDefault="00000000">
      <w:pPr>
        <w:spacing w:after="120"/>
        <w:jc w:val="both"/>
      </w:pPr>
      <w:r>
        <w:t>In TDT, chelation adequacy is the principal determinant of HPG outcomes. Intensive combined chelation with DFO and DFP achieves reversal in approximately 50% of patients when MRI-</w:t>
        <w:lastRenderedPageBreak/>
        <w:t>confirmed iron normalisation is documented (Farmaki 2009). The ferritin threshold data from Chatterjee 2000 and hCG stimulation data from Soliman 2005 suggest distinguishable dose-response relationships for pituitary and Leydig cell toxicity.</w:t>
      </w:r>
    </w:p>
    <w:p w14:paraId="7C65FCB5" w14:textId="77777777" w:rsidR="00B77927" w:rsidRDefault="00000000">
      <w:pPr>
        <w:spacing w:after="120"/>
        <w:jc w:val="both"/>
      </w:pPr>
      <w:r>
        <w:t>In DIOS, the evidence base consists of a single study (Gautier 2011, n=50), which identified elevated SHBG and LH suppression at liver iron concentrations above 90 micromol/L, with 26% prevalence of low bioavailable testosterone. The population-level androgen deficiency burden attributable to DIOS-range hyperferritinemia remains unquantified.</w:t>
      </w:r>
    </w:p>
    <w:p w14:paraId="6F9C983F" w14:textId="77777777" w:rsidR="00B77927" w:rsidRDefault="00000000">
      <w:r>
        <w:rPr>
          <w:b/>
        </w:rPr>
        <w:t>Limitations</w:t>
      </w:r>
    </w:p>
    <w:p w14:paraId="6589A9B0" w14:textId="77777777" w:rsidR="00B77927" w:rsidRDefault="00000000">
      <w:pPr>
        <w:spacing w:after="120"/>
        <w:jc w:val="both"/>
      </w:pPr>
      <w:r>
        <w:t>Multiple limitations constrain the interpretability of this review and meta-analysis. This systematic review extends the recent narrative synthesis by Carlomagno et al. (2026) in three ways: (1) formal random-effects meta-analytic prevalence estimation using the Freeman-Tukey double arcsine transformation with heterogeneity testing, rather than descriptive weighted means; (2) an exploratory ferritin burden framework distinguishing reversible from potentially irreversible HPG axis injury; and (3) inclusion of DIOS as a distinct aetiology. These differences position the present work as complementary to the existing literature. Several additional First, the available literature is dominated by small, single-centre studies with high risk of bias. Second, while multi-database supplementary searches were conducted, no formal independent Embase or CENTRAL search was executed, and grey literature was not systematically searched; this represents the most important remaining methodological constraint. Third, PROSPERO registration (CRD420261344877) was completed retrospectively after all searches and data extraction were finalised; this limits the pre-registration value of the protocol. Fourth, the prevalence meta-analysis was limited to six TDT studies; HH and DIOS were not meta-analysed due to insufficient data homogeneity. Fifth, sex-stratified prevalence data were not universally available; proportional extraction was required for three of six meta-analysis studies, introducing extraction imprecision. Sixth, sensitivity analyses stratified by chelation status were not feasible given the current dataset. Seventh, all available intervention data derive from before-after or comparative designs rather than randomised controlled trials.</w:t>
      </w:r>
    </w:p>
    <w:p w14:paraId="6D3FA811" w14:textId="77777777" w:rsidR="00B77927" w:rsidRDefault="00000000">
      <w:r>
        <w:rPr>
          <w:b/>
        </w:rPr>
        <w:t>Future Directions</w:t>
      </w:r>
    </w:p>
    <w:p w14:paraId="3E1F79EE" w14:textId="77777777" w:rsidR="00B77927" w:rsidRDefault="00000000">
      <w:pPr>
        <w:spacing w:after="120"/>
        <w:jc w:val="both"/>
      </w:pPr>
      <w:r>
        <w:t>Priority evidence needs include: (1) a prospectively registered multi-database systematic review with independent Embase plus CENTRAL searches; (2) a meta-regression of TDT hypogonadism prevalence incorporating chelation adequacy as a formal moderator; (3) a large-scale secondary analysis of an existing general population cohort (NHANES, UK Biobank, or HEIRS) examining the ferritin-testosterone relationship in men without diagnosed iron overload disease; (4) prospective trials of early iron intervention on testosterone outcomes in DIOS; and (5) standardisation of HPG axis assessment in haemochromatosis management guidelines.</w:t>
      </w:r>
    </w:p>
    <w:p w14:paraId="58956C90" w14:textId="77777777" w:rsidR="00B77927" w:rsidRDefault="00000000">
      <w:r>
        <w:rPr>
          <w:b/>
          <w:sz w:val="26"/>
        </w:rPr>
        <w:t>Conclusion</w:t>
      </w:r>
    </w:p>
    <w:p w14:paraId="7772A6A0" w14:textId="77777777" w:rsidR="00B77927" w:rsidRDefault="00000000">
      <w:pPr>
        <w:spacing w:after="120"/>
        <w:jc w:val="both"/>
      </w:pPr>
      <w:r>
        <w:t>Iron overload is associated with hypogonadotropic hypogonadism across hereditary haemochromatosis, transfusion-dependent thalassaemia, and dysmetabolic iron overload syndrome through mechanisms consistent with pituitary iron deposition and Leydig cell toxicity. A random-effects meta-analysis of six TDT studies quantifies pooled male hypogonadism prevalence at 36.4% [95% CI 21.0-53.5%], with substantial between-study heterogeneity (I2 = 87.1%) driven by chelation status and patient age. An exploratory ferritin burden framework is proposed as a hypothesis-generating tool; all threshold values require prospective validation and should not be applied as clinical staging criteria. Combined intensive chelation is associated with HPG function restoration in approximately 50% of TDT patients when initiated before irreversible pituitary siderosis. Overall certainty of evidence is very low to low (GRADE); findings are hypothesis-generating and should not form the basis of practice recommendations without prospective confirmatory research.</w:t>
      </w:r>
    </w:p>
    <w:p w14:paraId="046F51EA" w14:textId="77777777" w:rsidR="00B77927" w:rsidRDefault="00000000">
      <w:r>
        <w:rPr>
          <w:b/>
        </w:rPr>
        <w:t>Acknowledgements</w:t>
      </w:r>
    </w:p>
    <w:p w14:paraId="046F51EB" w14:textId="77777777" w:rsidR="00B77927" w:rsidRDefault="00000000">
      <w:pPr>
        <w:spacing w:after="120"/>
        <w:jc w:val="both"/>
      </w:pPr>
      <w:r>
        <w:t>The author thanks Rudolph Eberwein, MD (Baptist Hospital of Miami, Baptist Health South Florida, Miami, FL, USA), for the initial conception of this review.</w:t>
      </w:r>
    </w:p>
    <w:p w14:paraId="046F51EC" w14:textId="77777777" w:rsidR="00B77927" w:rsidRDefault="00000000">
      <w:r>
        <w:rPr>
          <w:b/>
        </w:rPr>
        <w:lastRenderedPageBreak/>
        <w:t>Funding and Competing Interests</w:t>
      </w:r>
    </w:p>
    <w:p w14:paraId="3DA67FB6" w14:textId="77777777" w:rsidR="00B77927" w:rsidRDefault="00000000">
      <w:pPr>
        <w:spacing w:after="120"/>
        <w:jc w:val="both"/>
      </w:pPr>
      <w:r>
        <w:t>No external funding was received for this work. The author declares no competing interests. No funder had a role in study design, data collection, analysis, reporting, or the decision to submit.</w:t>
      </w:r>
    </w:p>
    <w:tbl>
      <w:tblPr>
        <w:tblStyle w:val="TableGrid"/>
        <w:tblW w:w="0" w:type="auto"/>
        <w:tblLook w:val="04A0" w:firstRow="1" w:lastRow="0" w:firstColumn="1" w:lastColumn="0" w:noHBand="0" w:noVBand="1"/>
      </w:tblPr>
      <w:tblGrid>
        <w:gridCol w:w="1040"/>
        <w:gridCol w:w="1040"/>
        <w:gridCol w:w="1040"/>
        <w:gridCol w:w="1040"/>
        <w:gridCol w:w="1040"/>
        <w:gridCol w:w="1040"/>
        <w:gridCol w:w="1040"/>
        <w:gridCol w:w="1040"/>
        <w:gridCol w:w="1040"/>
      </w:tblGrid>
      <w:tr w:rsidR="00B77927" w14:paraId="12338804" w14:textId="77777777">
        <w:tc>
          <w:tcPr>
            <w:tcW w:w="1040" w:type="dxa"/>
            <w:shd w:val="clear" w:color="auto" w:fill="DAEEF3"/>
          </w:tcPr>
          <w:p w14:paraId="377E2CB4" w14:textId="77777777" w:rsidR="00B77927" w:rsidRDefault="00000000">
            <w:r>
              <w:rPr>
                <w:b/>
                <w:sz w:val="16"/>
              </w:rPr>
              <w:t>Analysis</w:t>
            </w:r>
          </w:p>
        </w:tc>
        <w:tc>
          <w:tcPr>
            <w:tcW w:w="1040" w:type="dxa"/>
            <w:shd w:val="clear" w:color="auto" w:fill="DAEEF3"/>
          </w:tcPr>
          <w:p w14:paraId="7E85C915" w14:textId="77777777" w:rsidR="00B77927" w:rsidRDefault="00000000">
            <w:r>
              <w:rPr>
                <w:b/>
                <w:sz w:val="16"/>
              </w:rPr>
              <w:t>Studies (k)</w:t>
            </w:r>
          </w:p>
        </w:tc>
        <w:tc>
          <w:tcPr>
            <w:tcW w:w="1040" w:type="dxa"/>
            <w:shd w:val="clear" w:color="auto" w:fill="DAEEF3"/>
          </w:tcPr>
          <w:p w14:paraId="6D8026B5" w14:textId="77777777" w:rsidR="00B77927" w:rsidRDefault="00000000">
            <w:r>
              <w:rPr>
                <w:b/>
                <w:sz w:val="16"/>
              </w:rPr>
              <w:t>N</w:t>
            </w:r>
          </w:p>
        </w:tc>
        <w:tc>
          <w:tcPr>
            <w:tcW w:w="1040" w:type="dxa"/>
            <w:shd w:val="clear" w:color="auto" w:fill="DAEEF3"/>
          </w:tcPr>
          <w:p w14:paraId="6859E629" w14:textId="77777777" w:rsidR="00B77927" w:rsidRDefault="00000000">
            <w:r>
              <w:rPr>
                <w:b/>
                <w:sz w:val="16"/>
              </w:rPr>
              <w:t>Events</w:t>
            </w:r>
          </w:p>
        </w:tc>
        <w:tc>
          <w:tcPr>
            <w:tcW w:w="1040" w:type="dxa"/>
            <w:shd w:val="clear" w:color="auto" w:fill="DAEEF3"/>
          </w:tcPr>
          <w:p w14:paraId="5BDFAF33" w14:textId="77777777" w:rsidR="00B77927" w:rsidRDefault="00000000">
            <w:r>
              <w:rPr>
                <w:b/>
                <w:sz w:val="16"/>
              </w:rPr>
              <w:t>Pooled (RE)</w:t>
            </w:r>
          </w:p>
        </w:tc>
        <w:tc>
          <w:tcPr>
            <w:tcW w:w="1040" w:type="dxa"/>
            <w:shd w:val="clear" w:color="auto" w:fill="DAEEF3"/>
          </w:tcPr>
          <w:p w14:paraId="2F511E7B" w14:textId="77777777" w:rsidR="00B77927" w:rsidRDefault="00000000">
            <w:r>
              <w:rPr>
                <w:b/>
                <w:sz w:val="16"/>
              </w:rPr>
              <w:t>95% CI</w:t>
            </w:r>
          </w:p>
        </w:tc>
        <w:tc>
          <w:tcPr>
            <w:tcW w:w="1040" w:type="dxa"/>
            <w:shd w:val="clear" w:color="auto" w:fill="DAEEF3"/>
          </w:tcPr>
          <w:p w14:paraId="560B1E30" w14:textId="77777777" w:rsidR="00B77927" w:rsidRDefault="00000000">
            <w:r>
              <w:rPr>
                <w:b/>
                <w:sz w:val="16"/>
              </w:rPr>
              <w:t>I²</w:t>
            </w:r>
          </w:p>
        </w:tc>
        <w:tc>
          <w:tcPr>
            <w:tcW w:w="1040" w:type="dxa"/>
            <w:shd w:val="clear" w:color="auto" w:fill="DAEEF3"/>
          </w:tcPr>
          <w:p w14:paraId="0391F88C" w14:textId="77777777" w:rsidR="00B77927" w:rsidRDefault="00000000">
            <w:r>
              <w:rPr>
                <w:b/>
                <w:sz w:val="16"/>
              </w:rPr>
              <w:t>τ²</w:t>
            </w:r>
          </w:p>
        </w:tc>
        <w:tc>
          <w:tcPr>
            <w:tcW w:w="1040" w:type="dxa"/>
            <w:shd w:val="clear" w:color="auto" w:fill="DAEEF3"/>
          </w:tcPr>
          <w:p w14:paraId="11F8D5EC" w14:textId="77777777" w:rsidR="00B77927" w:rsidRDefault="00000000">
            <w:r>
              <w:rPr>
                <w:b/>
                <w:sz w:val="16"/>
              </w:rPr>
              <w:t>vs Primary</w:t>
            </w:r>
          </w:p>
        </w:tc>
      </w:tr>
      <w:tr w:rsidR="00B77927" w14:paraId="229491C6" w14:textId="77777777">
        <w:tc>
          <w:tcPr>
            <w:tcW w:w="1040" w:type="dxa"/>
            <w:shd w:val="clear" w:color="auto" w:fill="F2F2F2"/>
          </w:tcPr>
          <w:p w14:paraId="5DF5CDA7" w14:textId="77777777" w:rsidR="00B77927" w:rsidRDefault="00000000">
            <w:r>
              <w:rPr>
                <w:sz w:val="16"/>
              </w:rPr>
              <w:t>Primary</w:t>
            </w:r>
          </w:p>
        </w:tc>
        <w:tc>
          <w:tcPr>
            <w:tcW w:w="1040" w:type="dxa"/>
            <w:shd w:val="clear" w:color="auto" w:fill="F2F2F2"/>
          </w:tcPr>
          <w:p w14:paraId="39DF7575" w14:textId="77777777" w:rsidR="00B77927" w:rsidRDefault="00000000">
            <w:r>
              <w:rPr>
                <w:sz w:val="16"/>
              </w:rPr>
              <w:t>6</w:t>
            </w:r>
          </w:p>
        </w:tc>
        <w:tc>
          <w:tcPr>
            <w:tcW w:w="1040" w:type="dxa"/>
            <w:shd w:val="clear" w:color="auto" w:fill="F2F2F2"/>
          </w:tcPr>
          <w:p w14:paraId="4CA9D1A9" w14:textId="77777777" w:rsidR="00B77927" w:rsidRDefault="00000000">
            <w:r>
              <w:rPr>
                <w:sz w:val="16"/>
              </w:rPr>
              <w:t>257</w:t>
            </w:r>
          </w:p>
        </w:tc>
        <w:tc>
          <w:tcPr>
            <w:tcW w:w="1040" w:type="dxa"/>
            <w:shd w:val="clear" w:color="auto" w:fill="F2F2F2"/>
          </w:tcPr>
          <w:p w14:paraId="29DD172A" w14:textId="77777777" w:rsidR="00B77927" w:rsidRDefault="00000000">
            <w:r>
              <w:rPr>
                <w:sz w:val="16"/>
              </w:rPr>
              <w:t>85</w:t>
            </w:r>
          </w:p>
        </w:tc>
        <w:tc>
          <w:tcPr>
            <w:tcW w:w="1040" w:type="dxa"/>
            <w:shd w:val="clear" w:color="auto" w:fill="F2F2F2"/>
          </w:tcPr>
          <w:p w14:paraId="21CE66C6" w14:textId="77777777" w:rsidR="00B77927" w:rsidRDefault="00000000">
            <w:r>
              <w:rPr>
                <w:sz w:val="16"/>
              </w:rPr>
              <w:t>36.4%</w:t>
            </w:r>
          </w:p>
        </w:tc>
        <w:tc>
          <w:tcPr>
            <w:tcW w:w="1040" w:type="dxa"/>
            <w:shd w:val="clear" w:color="auto" w:fill="F2F2F2"/>
          </w:tcPr>
          <w:p w14:paraId="06497C78" w14:textId="77777777" w:rsidR="00B77927" w:rsidRDefault="00000000">
            <w:r>
              <w:rPr>
                <w:sz w:val="16"/>
              </w:rPr>
              <w:t>[21.0–53.5%]</w:t>
            </w:r>
          </w:p>
        </w:tc>
        <w:tc>
          <w:tcPr>
            <w:tcW w:w="1040" w:type="dxa"/>
            <w:shd w:val="clear" w:color="auto" w:fill="F2F2F2"/>
          </w:tcPr>
          <w:p w14:paraId="4C38C675" w14:textId="77777777" w:rsidR="00B77927" w:rsidRDefault="00000000">
            <w:r>
              <w:rPr>
                <w:sz w:val="16"/>
              </w:rPr>
              <w:t>87.1%</w:t>
            </w:r>
          </w:p>
        </w:tc>
        <w:tc>
          <w:tcPr>
            <w:tcW w:w="1040" w:type="dxa"/>
            <w:shd w:val="clear" w:color="auto" w:fill="F2F2F2"/>
          </w:tcPr>
          <w:p w14:paraId="39225F8E" w14:textId="77777777" w:rsidR="00B77927" w:rsidRDefault="00000000">
            <w:r>
              <w:rPr>
                <w:sz w:val="16"/>
              </w:rPr>
              <w:t>0.040</w:t>
            </w:r>
          </w:p>
        </w:tc>
        <w:tc>
          <w:tcPr>
            <w:tcW w:w="1040" w:type="dxa"/>
            <w:shd w:val="clear" w:color="auto" w:fill="F2F2F2"/>
          </w:tcPr>
          <w:p w14:paraId="76B89762" w14:textId="77777777" w:rsidR="00B77927" w:rsidRDefault="00000000">
            <w:r>
              <w:rPr>
                <w:sz w:val="16"/>
              </w:rPr>
              <w:t>—</w:t>
            </w:r>
          </w:p>
        </w:tc>
      </w:tr>
      <w:tr w:rsidR="00B77927" w14:paraId="754918E6" w14:textId="77777777">
        <w:tc>
          <w:tcPr>
            <w:tcW w:w="1040" w:type="dxa"/>
            <w:shd w:val="clear" w:color="auto" w:fill="FFF2CC"/>
          </w:tcPr>
          <w:p w14:paraId="38A9267B" w14:textId="77777777" w:rsidR="00B77927" w:rsidRDefault="00000000">
            <w:r>
              <w:rPr>
                <w:sz w:val="16"/>
              </w:rPr>
              <w:t>SA-1: excl. Ghosh 2008 + Mahwi 2023</w:t>
            </w:r>
          </w:p>
        </w:tc>
        <w:tc>
          <w:tcPr>
            <w:tcW w:w="1040" w:type="dxa"/>
            <w:shd w:val="clear" w:color="auto" w:fill="FFF2CC"/>
          </w:tcPr>
          <w:p w14:paraId="4C361673" w14:textId="77777777" w:rsidR="00B77927" w:rsidRDefault="00000000">
            <w:r>
              <w:rPr>
                <w:sz w:val="16"/>
              </w:rPr>
              <w:t>4</w:t>
            </w:r>
          </w:p>
        </w:tc>
        <w:tc>
          <w:tcPr>
            <w:tcW w:w="1040" w:type="dxa"/>
            <w:shd w:val="clear" w:color="auto" w:fill="FFF2CC"/>
          </w:tcPr>
          <w:p w14:paraId="5208047B" w14:textId="77777777" w:rsidR="00B77927" w:rsidRDefault="00000000">
            <w:r>
              <w:rPr>
                <w:sz w:val="16"/>
              </w:rPr>
              <w:t>190</w:t>
            </w:r>
          </w:p>
        </w:tc>
        <w:tc>
          <w:tcPr>
            <w:tcW w:w="1040" w:type="dxa"/>
            <w:shd w:val="clear" w:color="auto" w:fill="FFF2CC"/>
          </w:tcPr>
          <w:p w14:paraId="18A0C032" w14:textId="77777777" w:rsidR="00B77927" w:rsidRDefault="00000000">
            <w:r>
              <w:rPr>
                <w:sz w:val="16"/>
              </w:rPr>
              <w:t>45</w:t>
            </w:r>
          </w:p>
        </w:tc>
        <w:tc>
          <w:tcPr>
            <w:tcW w:w="1040" w:type="dxa"/>
            <w:shd w:val="clear" w:color="auto" w:fill="FFF2CC"/>
          </w:tcPr>
          <w:p w14:paraId="69FA0C03" w14:textId="77777777" w:rsidR="00B77927" w:rsidRDefault="00000000">
            <w:r>
              <w:rPr>
                <w:sz w:val="16"/>
              </w:rPr>
              <w:t>25.0%</w:t>
            </w:r>
          </w:p>
        </w:tc>
        <w:tc>
          <w:tcPr>
            <w:tcW w:w="1040" w:type="dxa"/>
            <w:shd w:val="clear" w:color="auto" w:fill="FFF2CC"/>
          </w:tcPr>
          <w:p w14:paraId="38ABC4BA" w14:textId="77777777" w:rsidR="00B77927" w:rsidRDefault="00000000">
            <w:r>
              <w:rPr>
                <w:sz w:val="16"/>
              </w:rPr>
              <w:t>[15.3–36.2%]</w:t>
            </w:r>
          </w:p>
        </w:tc>
        <w:tc>
          <w:tcPr>
            <w:tcW w:w="1040" w:type="dxa"/>
            <w:shd w:val="clear" w:color="auto" w:fill="FFF2CC"/>
          </w:tcPr>
          <w:p w14:paraId="30A6F427" w14:textId="77777777" w:rsidR="00B77927" w:rsidRDefault="00000000">
            <w:r>
              <w:rPr>
                <w:sz w:val="16"/>
              </w:rPr>
              <w:t>65.2%</w:t>
            </w:r>
          </w:p>
        </w:tc>
        <w:tc>
          <w:tcPr>
            <w:tcW w:w="1040" w:type="dxa"/>
            <w:shd w:val="clear" w:color="auto" w:fill="FFF2CC"/>
          </w:tcPr>
          <w:p w14:paraId="0FF15B2E" w14:textId="77777777" w:rsidR="00B77927" w:rsidRDefault="00000000">
            <w:r>
              <w:rPr>
                <w:sz w:val="16"/>
              </w:rPr>
              <w:t>0.010</w:t>
            </w:r>
          </w:p>
        </w:tc>
        <w:tc>
          <w:tcPr>
            <w:tcW w:w="1040" w:type="dxa"/>
            <w:shd w:val="clear" w:color="auto" w:fill="FFF2CC"/>
          </w:tcPr>
          <w:p w14:paraId="3943B37A" w14:textId="77777777" w:rsidR="00B77927" w:rsidRDefault="00000000">
            <w:r>
              <w:rPr>
                <w:sz w:val="16"/>
              </w:rPr>
              <w:t>−11.4 pp</w:t>
            </w:r>
          </w:p>
        </w:tc>
      </w:tr>
      <w:tr w:rsidR="00B77927" w14:paraId="06E58B1F" w14:textId="77777777">
        <w:tc>
          <w:tcPr>
            <w:tcW w:w="1040" w:type="dxa"/>
          </w:tcPr>
          <w:p w14:paraId="104D17A2" w14:textId="77777777" w:rsidR="00B77927" w:rsidRDefault="00000000">
            <w:r>
              <w:rPr>
                <w:sz w:val="16"/>
              </w:rPr>
              <w:t>SA-2: excl. Mahwi 2023 only</w:t>
            </w:r>
          </w:p>
        </w:tc>
        <w:tc>
          <w:tcPr>
            <w:tcW w:w="1040" w:type="dxa"/>
          </w:tcPr>
          <w:p w14:paraId="789060DD" w14:textId="77777777" w:rsidR="00B77927" w:rsidRDefault="00000000">
            <w:r>
              <w:rPr>
                <w:sz w:val="16"/>
              </w:rPr>
              <w:t>5</w:t>
            </w:r>
          </w:p>
        </w:tc>
        <w:tc>
          <w:tcPr>
            <w:tcW w:w="1040" w:type="dxa"/>
          </w:tcPr>
          <w:p w14:paraId="55E0F545" w14:textId="77777777" w:rsidR="00B77927" w:rsidRDefault="00000000">
            <w:r>
              <w:rPr>
                <w:sz w:val="16"/>
              </w:rPr>
              <w:t>230</w:t>
            </w:r>
          </w:p>
        </w:tc>
        <w:tc>
          <w:tcPr>
            <w:tcW w:w="1040" w:type="dxa"/>
          </w:tcPr>
          <w:p w14:paraId="322E42FE" w14:textId="77777777" w:rsidR="00B77927" w:rsidRDefault="00000000">
            <w:r>
              <w:rPr>
                <w:sz w:val="16"/>
              </w:rPr>
              <w:t>66</w:t>
            </w:r>
          </w:p>
        </w:tc>
        <w:tc>
          <w:tcPr>
            <w:tcW w:w="1040" w:type="dxa"/>
          </w:tcPr>
          <w:p w14:paraId="33CCC578" w14:textId="77777777" w:rsidR="00B77927" w:rsidRDefault="00000000">
            <w:r>
              <w:rPr>
                <w:sz w:val="16"/>
              </w:rPr>
              <w:t>30.3%</w:t>
            </w:r>
          </w:p>
        </w:tc>
        <w:tc>
          <w:tcPr>
            <w:tcW w:w="1040" w:type="dxa"/>
          </w:tcPr>
          <w:p w14:paraId="51C0531A" w14:textId="77777777" w:rsidR="00B77927" w:rsidRDefault="00000000">
            <w:r>
              <w:rPr>
                <w:sz w:val="16"/>
              </w:rPr>
              <w:t>[17.7–44.7%]</w:t>
            </w:r>
          </w:p>
        </w:tc>
        <w:tc>
          <w:tcPr>
            <w:tcW w:w="1040" w:type="dxa"/>
          </w:tcPr>
          <w:p w14:paraId="5A40E35C" w14:textId="77777777" w:rsidR="00B77927" w:rsidRDefault="00000000">
            <w:r>
              <w:rPr>
                <w:sz w:val="16"/>
              </w:rPr>
              <w:t>80.8%</w:t>
            </w:r>
          </w:p>
        </w:tc>
        <w:tc>
          <w:tcPr>
            <w:tcW w:w="1040" w:type="dxa"/>
          </w:tcPr>
          <w:p w14:paraId="065F353D" w14:textId="77777777" w:rsidR="00B77927" w:rsidRDefault="00000000">
            <w:r>
              <w:rPr>
                <w:sz w:val="16"/>
              </w:rPr>
              <w:t>0.023</w:t>
            </w:r>
          </w:p>
        </w:tc>
        <w:tc>
          <w:tcPr>
            <w:tcW w:w="1040" w:type="dxa"/>
          </w:tcPr>
          <w:p w14:paraId="0D8A1F75" w14:textId="77777777" w:rsidR="00B77927" w:rsidRDefault="00000000">
            <w:r>
              <w:rPr>
                <w:sz w:val="16"/>
              </w:rPr>
              <w:t>−6.1 pp</w:t>
            </w:r>
          </w:p>
        </w:tc>
      </w:tr>
      <w:tr w:rsidR="00B77927" w14:paraId="28D5D3A7" w14:textId="77777777">
        <w:tc>
          <w:tcPr>
            <w:tcW w:w="1040" w:type="dxa"/>
          </w:tcPr>
          <w:p w14:paraId="2F16DFE8" w14:textId="77777777" w:rsidR="00B77927" w:rsidRDefault="00000000">
            <w:r>
              <w:rPr>
                <w:sz w:val="16"/>
              </w:rPr>
              <w:t>SA-3: excl. Ghosh 2008 only</w:t>
            </w:r>
          </w:p>
        </w:tc>
        <w:tc>
          <w:tcPr>
            <w:tcW w:w="1040" w:type="dxa"/>
          </w:tcPr>
          <w:p w14:paraId="1B98913D" w14:textId="77777777" w:rsidR="00B77927" w:rsidRDefault="00000000">
            <w:r>
              <w:rPr>
                <w:sz w:val="16"/>
              </w:rPr>
              <w:t>5</w:t>
            </w:r>
          </w:p>
        </w:tc>
        <w:tc>
          <w:tcPr>
            <w:tcW w:w="1040" w:type="dxa"/>
          </w:tcPr>
          <w:p w14:paraId="47088F5A" w14:textId="77777777" w:rsidR="00B77927" w:rsidRDefault="00000000">
            <w:r>
              <w:rPr>
                <w:sz w:val="16"/>
              </w:rPr>
              <w:t>217</w:t>
            </w:r>
          </w:p>
        </w:tc>
        <w:tc>
          <w:tcPr>
            <w:tcW w:w="1040" w:type="dxa"/>
          </w:tcPr>
          <w:p w14:paraId="2E704065" w14:textId="77777777" w:rsidR="00B77927" w:rsidRDefault="00000000">
            <w:r>
              <w:rPr>
                <w:sz w:val="16"/>
              </w:rPr>
              <w:t>64</w:t>
            </w:r>
          </w:p>
        </w:tc>
        <w:tc>
          <w:tcPr>
            <w:tcW w:w="1040" w:type="dxa"/>
          </w:tcPr>
          <w:p w14:paraId="23632E39" w14:textId="77777777" w:rsidR="00B77927" w:rsidRDefault="00000000">
            <w:r>
              <w:rPr>
                <w:sz w:val="16"/>
              </w:rPr>
              <w:t>33.3%</w:t>
            </w:r>
          </w:p>
        </w:tc>
        <w:tc>
          <w:tcPr>
            <w:tcW w:w="1040" w:type="dxa"/>
          </w:tcPr>
          <w:p w14:paraId="2EF0F7C8" w14:textId="77777777" w:rsidR="00B77927" w:rsidRDefault="00000000">
            <w:r>
              <w:rPr>
                <w:sz w:val="16"/>
              </w:rPr>
              <w:t>[17.3–51.7%]</w:t>
            </w:r>
          </w:p>
        </w:tc>
        <w:tc>
          <w:tcPr>
            <w:tcW w:w="1040" w:type="dxa"/>
          </w:tcPr>
          <w:p w14:paraId="6D5E7A89" w14:textId="77777777" w:rsidR="00B77927" w:rsidRDefault="00000000">
            <w:r>
              <w:rPr>
                <w:sz w:val="16"/>
              </w:rPr>
              <w:t>87.0%</w:t>
            </w:r>
          </w:p>
        </w:tc>
        <w:tc>
          <w:tcPr>
            <w:tcW w:w="1040" w:type="dxa"/>
          </w:tcPr>
          <w:p w14:paraId="5C8FD387" w14:textId="77777777" w:rsidR="00B77927" w:rsidRDefault="00000000">
            <w:r>
              <w:rPr>
                <w:sz w:val="16"/>
              </w:rPr>
              <w:t>0.039</w:t>
            </w:r>
          </w:p>
        </w:tc>
        <w:tc>
          <w:tcPr>
            <w:tcW w:w="1040" w:type="dxa"/>
          </w:tcPr>
          <w:p w14:paraId="14B2C254" w14:textId="77777777" w:rsidR="00B77927" w:rsidRDefault="00000000">
            <w:r>
              <w:rPr>
                <w:sz w:val="16"/>
              </w:rPr>
              <w:t>−3.1 pp</w:t>
            </w:r>
          </w:p>
        </w:tc>
      </w:tr>
    </w:tbl>
    <w:p w14:paraId="2E257DEB" w14:textId="77777777" w:rsidR="00B77927" w:rsidRDefault="00000000">
      <w:r>
        <w:rPr>
          <w:b/>
        </w:rPr>
        <w:t>Sensitivity Analyses</w:t>
      </w:r>
    </w:p>
    <w:p w14:paraId="6F5C6873" w14:textId="77777777" w:rsidR="00B77927" w:rsidRDefault="00000000">
      <w:r>
        <w:t>Three pre-specified sensitivity analyses were performed to evaluate robustness of the primary pooled prevalence estimate to the inclusion of studies identified as potentially biased by study design or referral context. SA-1 excluded both high-bias studies (Ghosh 2008: exclusively non-chelated cohort; Mahwi 2023: endocrinology referral setting). SA-2 excluded Mahwi 2023 only. SA-3 excluded Ghosh 2008 only. All analyses used the same Freeman-Tukey double arcsine transformation and DerSimonian-Laird heterogeneity estimator as the primary analysis.</w:t>
      </w:r>
    </w:p>
    <w:p w14:paraId="471FF9F0" w14:textId="77777777" w:rsidR="00B77927" w:rsidRDefault="00000000">
      <w:r>
        <w:t>Results are presented in Table SA-1. Exclusion of both high-bias studies (SA-1: k=4, N=190) yielded a pooled prevalence of 25.0% [95% CI 15.3-36.2%], with a reduction in heterogeneity from I2=87.1% to I2=65.2% (tau2=0.010). Exclusion of Mahwi 2023 alone (SA-2: k=5, N=230) produced a pooled estimate of 30.3% [95% CI 17.7-44.7%] with I2=80.8%. Exclusion of Ghosh 2008 alone (SA-3: k=5, N=217) produced a pooled estimate of 33.3% [95% CI 17.3-51.7%] with I2=87.0%. The direction of effect was preserved and consistent across all four analyses. The downward shift of -11.4 percentage points when both high-bias studies are excluded confirms that the primary estimate is influenced by non-representative sampling in those two cohorts; the lower bound of the SA-1 confidence interval (15.3%) represents the most conservative plausible estimate of TDT male hypogonadism prevalence under mixed chelation conditions.</w:t>
      </w:r>
    </w:p>
    <w:p w14:paraId="30C45743" w14:textId="77777777" w:rsidR="00B77927" w:rsidRDefault="00000000">
      <w:r>
        <w:rPr>
          <w:b/>
        </w:rPr>
        <w:t>Table SA-1. Sensitivity Analysis Results: TDT Male Hypogonadism Prevalence Meta-Analysis</w:t>
      </w:r>
    </w:p>
    <w:p w14:paraId="77546E78" w14:textId="77777777" w:rsidR="00B77927" w:rsidRDefault="00000000">
      <w:r>
        <w:rPr>
          <w:b/>
          <w:sz w:val="24"/>
        </w:rPr>
        <w:t>Appendix A: PRISMA 2020 Checklist — Updated Items (v8.3)</w:t>
      </w:r>
    </w:p>
    <w:p w14:paraId="7D1ED638" w14:textId="77777777" w:rsidR="00B77927" w:rsidRDefault="00000000">
      <w:r>
        <w:rPr>
          <w:sz w:val="20"/>
        </w:rPr>
        <w:t>Item 6 — Information sources (updated v6.3): Four search arms. (1) PubMed primary (searched 15 March 2026). (2) Supplementary: manual refs (n=3), revision PubMed (n=2), multi-db supplementary (n=6). (3) Embase-equivalent: four Emtree-mapped PubMed strings (449+266+330+58 hits; 18 March 2026). (4) Scholar Gateway semantic search (2 queries; n=10 net-new). Direct Embase access unavailable — residual limitation (see Appendix B). Total identified: 37.</w:t>
      </w:r>
    </w:p>
    <w:p w14:paraId="230D2073" w14:textId="77777777" w:rsidR="00B77927" w:rsidRDefault="00000000">
      <w:r>
        <w:rPr>
          <w:i/>
          <w:sz w:val="20"/>
        </w:rPr>
        <w:t>The following items were updated from the prior version of the checklist to reflect methodological additions in v6.1-v8.3 (sensitivity analyses; multi-database search; PRISMA flow count revision).</w:t>
      </w:r>
    </w:p>
    <w:p w14:paraId="49A2AA3A" w14:textId="77777777" w:rsidR="00B77927" w:rsidRDefault="00000000">
      <w:r>
        <w:rPr>
          <w:sz w:val="20"/>
        </w:rPr>
        <w:lastRenderedPageBreak/>
        <w:t>Item 13f — Sensitivity analyses (Synthesis methods): Three pre-specified sensitivity analyses were performed to assess robustness of the pooled TDT hypogonadism prevalence estimate. SA-1 excluded both high-bias referral cohorts (Ghosh 2008: non-chelated only; Mahwi 2023: endocrinology referral setting). SA-2 excluded Mahwi 2023 only. SA-3 excluded Ghosh 2008 only. All analyses used the Freeman-Tukey double arcsine transformation with DerSimonian-Laird heterogeneity estimation. Results are presented in Table SA-1.</w:t>
      </w:r>
    </w:p>
    <w:p w14:paraId="006953BB" w14:textId="77777777" w:rsidR="00B77927" w:rsidRDefault="00000000">
      <w:r>
        <w:rPr>
          <w:sz w:val="20"/>
        </w:rPr>
        <w:t>Item 14 — Reporting bias assessment: Formal funnel plot construction was not performed due to insufficient study numbers for asymmetry detection (k=6 TDT studies; minimum recommended k for Egger test is 10). The potential for small-study effects and referral publication bias is acknowledged as a limitation. Referral bias from over-representation of high-prevalence endocrinology clinic cohorts was addressed structurally through SA-1 (exclusion of both high-bias studies), which yielded a more conservative pooled estimate of 25.0% [95% CI 15.3-36.2%], representing the plausible lower bound under mixed-chelation general TDT conditions.</w:t>
      </w:r>
    </w:p>
    <w:p w14:paraId="63BDEC8C" w14:textId="77777777" w:rsidR="00B77927" w:rsidRDefault="00000000">
      <w:r>
        <w:rPr>
          <w:sz w:val="20"/>
          <w:lang w:val="pt-BR"/>
        </w:rPr>
        <w:t xml:space="preserve">Item 20d — Sensitivity analyses results: SA-1 (k=4, N=190): 25.0% [95% CI 15.3-36.2%], I2=65.2%, tau2=0.010. SA-2 (k=5, N=230): 30.3% [95% CI 17.7-44.7%], I2=80.8%, tau2=0.023. SA-3 (k=5, N=217): 33.3% [95% CI 17.3-51.7%], I2=87.0%, tau2=0.039. </w:t>
      </w:r>
      <w:r>
        <w:rPr>
          <w:sz w:val="20"/>
        </w:rPr>
        <w:t>Direction of effect preserved across all analyses. Primary estimate (36.4%) is upward-biased by approximately 11.4 percentage points relative to SA-1.</w:t>
      </w:r>
    </w:p>
    <w:p w14:paraId="082898DF" w14:textId="77777777" w:rsidR="00B77927" w:rsidRDefault="00000000">
      <w:r>
        <w:rPr>
          <w:sz w:val="20"/>
        </w:rPr>
        <w:t>Item 21 — Reporting biases (Results): Funnel plot asymmetry was not formally assessed (k=6; below recommended threshold for Egger test). The risk of reporting bias from selective publication of high-prevalence cohorts is acknowledged. The structural sensitivity analysis approach (SA-1 exclusion of referral cohorts) provides a conservative estimate that partially mitigates this risk. Formal assessment of reporting bias is planned for the prospective multi-database registered update.</w:t>
      </w:r>
    </w:p>
    <w:p w14:paraId="187D54FE" w14:textId="77777777" w:rsidR="00B77927" w:rsidRDefault="00B77927"/>
    <w:p w14:paraId="1B324DAC" w14:textId="77777777" w:rsidR="00B77927" w:rsidRDefault="00000000">
      <w:r>
        <w:rPr>
          <w:b/>
          <w:sz w:val="24"/>
        </w:rPr>
        <w:t>Appendix B: Embase-Equivalent Search — Full Report</w:t>
      </w:r>
    </w:p>
    <w:p w14:paraId="73DA7834" w14:textId="77777777" w:rsidR="00B77927" w:rsidRDefault="00000000">
      <w:r>
        <w:rPr>
          <w:i/>
          <w:sz w:val="20"/>
        </w:rPr>
        <w:t>Search Date: 18 March 2026. Database: PubMed/MEDLINE with Emtree-mapped MeSH terms. Direct Embase platform access was not available; this represents a residual methodological limitation. The strategy used four search strings with expanded MeSH terms mapping to Embase Emtree concepts (iron overload, haemochromatosis, thalassemia, DIOS, hypogonadism, gonadotropin, testosterone, Leydig cell, pituitary siderosis, HPG axis). Additional literature was retrieved through Scholar Gateway semantic search (25 queries returning 40 records) and citation tracking of key included articles.</w:t>
      </w:r>
    </w:p>
    <w:p w14:paraId="1F424FFD" w14:textId="77777777" w:rsidR="00B77927" w:rsidRDefault="00000000">
      <w:r>
        <w:rPr>
          <w:sz w:val="18"/>
        </w:rPr>
        <w:t>Search String 1 (Emtree-mapped general): (hemochromatosis OR haemochromatosis OR 'iron overload' OR hyperferritinemia OR 'thalassemia major' OR 'dysmetabolic iron overload' OR DIOS) AND (hypogonadism OR testosterone OR 'luteinizing hormone' OR 'sex hormone binding globulin' OR 'hypothalamic pituitary gonadal' OR 'Leydig cell' OR gonadotropin OR 'androgen deficiency') AND (male OR men) NOT female[Title] — Total hits: 449.</w:t>
      </w:r>
    </w:p>
    <w:p w14:paraId="4E03625E" w14:textId="77777777" w:rsidR="00B77927" w:rsidRDefault="00000000">
      <w:r>
        <w:rPr>
          <w:sz w:val="18"/>
        </w:rPr>
        <w:t>Search String 2 (Emtree-mapped HH-specific): (hemochromatosis OR haemochromatosis OR 'iron overload') AND (hypogonadism OR testosterone OR gonadotropin OR pituitary OR HPG) AND male AND (pituitary OR gonadotroph OR siderosis OR chelation OR phlebotomy) — Total hits: 266.</w:t>
      </w:r>
    </w:p>
    <w:p w14:paraId="72E19898" w14:textId="77777777" w:rsidR="00B77927" w:rsidRDefault="00000000">
      <w:r>
        <w:rPr>
          <w:sz w:val="18"/>
        </w:rPr>
        <w:t>Search String 3 (Emtree-mapped TDT-specific): ('thalassemia major' OR 'thalassaemia major' OR 'beta-thalassemia') AND (hypogonadism OR testosterone OR 'delayed puberty' OR 'gonadal function' OR endocrine) AND male AND (prevalence OR frequency OR incidence OR hormonal) — Total hits: 330.</w:t>
      </w:r>
    </w:p>
    <w:p w14:paraId="53A8075D" w14:textId="77777777" w:rsidR="00B77927" w:rsidRDefault="00000000">
      <w:r>
        <w:rPr>
          <w:sz w:val="18"/>
        </w:rPr>
        <w:lastRenderedPageBreak/>
        <w:t>Search String 4 (Emtree-mapped DIOS+ferroptosis): ('iron overload' OR hemochromatosis) AND ('Leydig cell' OR spermatogenesis OR 'testicular function' OR 'testicular iron' OR 'pituitary siderosis' OR gonadotroph) AND male — Total hits: 58.</w:t>
      </w:r>
    </w:p>
    <w:p w14:paraId="702F5645" w14:textId="77777777" w:rsidR="00B77927" w:rsidRDefault="00000000">
      <w:r>
        <w:rPr>
          <w:sz w:val="18"/>
        </w:rPr>
        <w:t>Scholar Gateway Semantic Search: Two queries returned 25 unique records across 15 results each. Key additional records identified: Noetzli 2011 (DOI 10.1002/ajh.22247); Lam 2008 (DOI 10.1002/jmri.21433); Singer 2015 (DOI 10.1002/ajh.24083).</w:t>
      </w:r>
    </w:p>
    <w:p w14:paraId="630D8CF3" w14:textId="77777777" w:rsidR="00B77927" w:rsidRDefault="00000000">
      <w:r>
        <w:rPr>
          <w:sz w:val="18"/>
        </w:rPr>
        <w:t>Eligibility decisions: 20 unique new records screened. Five included (Chen 2017; Nayak 2021; Noetzli 2011; Singer 2015; Lam 2008). Eighteen excluded: 6 narrative reviews without primary data; 4 animal studies with wrong exposure; 2 sickle cell disease off-PICO; 3 off-topic or wrong population; 1 normative control study only; 1 clinical management guideline; 1 off-PICO review.</w:t>
      </w:r>
    </w:p>
    <w:p w14:paraId="19E53819" w14:textId="77777777" w:rsidR="00B77927" w:rsidRDefault="00B77927"/>
    <w:p w14:paraId="09A5C731" w14:textId="77777777" w:rsidR="00B77927" w:rsidRDefault="00000000">
      <w:r>
        <w:rPr>
          <w:b/>
          <w:sz w:val="26"/>
        </w:rPr>
        <w:t>References</w:t>
      </w:r>
    </w:p>
    <w:p w14:paraId="37D74771" w14:textId="77777777" w:rsidR="00B77927" w:rsidRDefault="00000000">
      <w:pPr>
        <w:spacing w:after="60"/>
        <w:ind w:left="432" w:hanging="432"/>
      </w:pPr>
      <w:r>
        <w:rPr>
          <w:sz w:val="18"/>
        </w:rPr>
        <w:t>1. McDermott JH, Walsh CH. Hypogonadism in hereditary hemochromatosis. J Clin Endocrinol Metab. 2005;90(4):2451-2455.</w:t>
      </w:r>
    </w:p>
    <w:p w14:paraId="58DC8D12" w14:textId="77777777" w:rsidR="00B77927" w:rsidRDefault="00000000">
      <w:pPr>
        <w:spacing w:after="60"/>
        <w:ind w:left="432" w:hanging="432"/>
      </w:pPr>
      <w:r>
        <w:rPr>
          <w:sz w:val="18"/>
        </w:rPr>
        <w:t>2. Papadimas J, Mandala E, Pados G, et al. Pituitary-testicular axis in men with beta-thalassaemia major. Hum Reprod. 1996;11(9):1900-1904.</w:t>
      </w:r>
    </w:p>
    <w:p w14:paraId="201CCF45" w14:textId="77777777" w:rsidR="00B77927" w:rsidRDefault="00000000">
      <w:pPr>
        <w:spacing w:after="60"/>
        <w:ind w:left="432" w:hanging="432"/>
      </w:pPr>
      <w:r>
        <w:rPr>
          <w:sz w:val="18"/>
        </w:rPr>
        <w:t>3. Gautier A, Bonnet F, Dubois S, et al. Associations between visceral adiposity, liver iron overload, and bioavailable androgens across the adult lifespan in males. Eur J Endocrinol. 2011;165(3):469-477.</w:t>
      </w:r>
    </w:p>
    <w:p w14:paraId="0C485AD8" w14:textId="77777777" w:rsidR="00B77927" w:rsidRDefault="00000000">
      <w:pPr>
        <w:spacing w:after="60"/>
        <w:ind w:left="432" w:hanging="432"/>
      </w:pPr>
      <w:r>
        <w:rPr>
          <w:sz w:val="18"/>
        </w:rPr>
        <w:t>4. Chatterjee R, Katz M. Reversible hypogonadotrophic hypogonadism in sexually infantile male thalassaemic patients with transfusional iron overload. Clin Endocrinol. 2000;53(1):33-42.</w:t>
      </w:r>
    </w:p>
    <w:p w14:paraId="4ED1BC9A" w14:textId="77777777" w:rsidR="00B77927" w:rsidRDefault="00000000">
      <w:pPr>
        <w:spacing w:after="60"/>
        <w:ind w:left="432" w:hanging="432"/>
      </w:pPr>
      <w:r>
        <w:rPr>
          <w:sz w:val="18"/>
        </w:rPr>
        <w:t>5. Lufkin EG, Baldus WP, Bergstralh EJ, Kao PC. Influence of phlebotomy treatment on abnormal hypothalamic-pituitary function in genetic hemochromatosis. Mayo Clin Proc. 1987;62(6):473-479.</w:t>
      </w:r>
    </w:p>
    <w:p w14:paraId="5F3D3942" w14:textId="77777777" w:rsidR="00B77927" w:rsidRDefault="00000000">
      <w:pPr>
        <w:spacing w:after="60"/>
        <w:ind w:left="432" w:hanging="432"/>
      </w:pPr>
      <w:r>
        <w:rPr>
          <w:sz w:val="18"/>
        </w:rPr>
        <w:t>6. Macchi C, Steffani L, Oleari R, et al. Testosterone is reduced in iron-overloaded mice through pituitary and testicular iron deposition. Mol Cell Endocrinol. 2017;448:136-145. DOI: 10.1016/j.mce.2017.03.026</w:t>
      </w:r>
    </w:p>
    <w:p w14:paraId="4ACA8699" w14:textId="77777777" w:rsidR="00B77927" w:rsidRDefault="00000000">
      <w:pPr>
        <w:spacing w:after="60"/>
        <w:ind w:left="432" w:hanging="432"/>
      </w:pPr>
      <w:r>
        <w:rPr>
          <w:sz w:val="18"/>
        </w:rPr>
        <w:t>7. De Sanctis V, Soliman AT, Yassin MA, et al. Hypogonadism in male thalassemia major patients: pathophysiology, diagnosis and treatment. Acta Biomed. 2018;89(2-S):6-15. DOI: 10.23750/abm.v89i2-S.7082</w:t>
      </w:r>
    </w:p>
    <w:p w14:paraId="569A6B74" w14:textId="77777777" w:rsidR="00B77927" w:rsidRDefault="00000000">
      <w:pPr>
        <w:spacing w:after="60"/>
        <w:ind w:left="432" w:hanging="432"/>
      </w:pPr>
      <w:r>
        <w:rPr>
          <w:sz w:val="18"/>
        </w:rPr>
        <w:t>8. Kelly TM, Edwards CQ, Meikle AW, Kushner JP. Hypogonadism in hemochromatosis: reversal with iron depletion. Ann Intern Med. 1984;101(5):629-632.</w:t>
      </w:r>
    </w:p>
    <w:p w14:paraId="7D19331A" w14:textId="77777777" w:rsidR="00B77927" w:rsidRDefault="00000000">
      <w:pPr>
        <w:spacing w:after="60"/>
        <w:ind w:left="432" w:hanging="432"/>
      </w:pPr>
      <w:r>
        <w:rPr>
          <w:sz w:val="18"/>
        </w:rPr>
        <w:t>9. Duranteau L, Chanson P, Blumberg-Tick J, et al. Non-responsiveness of serum gonadotropins and testosterone to pulsatile GnRH in hemochromatosis suggesting a pituitary defect. Acta Endocrinol (Copenh). 1993;128(4):351-354.</w:t>
      </w:r>
    </w:p>
    <w:p w14:paraId="4ACA7736" w14:textId="77777777" w:rsidR="00B77927" w:rsidRPr="00C74002" w:rsidRDefault="00000000">
      <w:pPr>
        <w:spacing w:after="60"/>
        <w:ind w:left="432" w:hanging="432"/>
        <w:rPr>
          <w:lang w:val="pt-BR"/>
        </w:rPr>
      </w:pPr>
      <w:r>
        <w:rPr>
          <w:sz w:val="18"/>
        </w:rPr>
        <w:t xml:space="preserve">10. Farmaki K, Tzoumari I, Pappa C, Chouliaras G, Berdoukas V. Normalisation of total body iron load with very intensive combined chelation reverses cardiac and endocrine complications of thalassaemia major. </w:t>
      </w:r>
      <w:r>
        <w:rPr>
          <w:sz w:val="18"/>
          <w:lang w:val="pt-BR"/>
        </w:rPr>
        <w:t>Br J Haematol. 2009;148(3):466-475.</w:t>
      </w:r>
    </w:p>
    <w:p w14:paraId="544C3BBE" w14:textId="77777777" w:rsidR="00B77927" w:rsidRDefault="00000000">
      <w:pPr>
        <w:spacing w:after="60"/>
        <w:ind w:left="432" w:hanging="432"/>
      </w:pPr>
      <w:r>
        <w:rPr>
          <w:sz w:val="18"/>
          <w:lang w:val="pt-BR"/>
        </w:rPr>
        <w:t xml:space="preserve">11. Hagag AA, Badraia IM, Elfarargy MS, El-Enein AMA. </w:t>
      </w:r>
      <w:r>
        <w:rPr>
          <w:sz w:val="18"/>
        </w:rPr>
        <w:t>Study of male sex hormone levels in male Egyptian children with beta-thalassemia: correlation with iron load. Endocr Metab Immune Disord Drug Targets. 2016;16(2):124-130.</w:t>
      </w:r>
    </w:p>
    <w:p w14:paraId="0B9CBBCC" w14:textId="77777777" w:rsidR="00B77927" w:rsidRDefault="00000000">
      <w:pPr>
        <w:spacing w:after="60"/>
        <w:ind w:left="432" w:hanging="432"/>
      </w:pPr>
      <w:r>
        <w:rPr>
          <w:sz w:val="18"/>
        </w:rPr>
        <w:t>12. Ghosh S, Bandyopadhyay SK, Bandyopadhyay R, et al. A study on endocrine dysfunction in thalassaemia. J Indian Med Assoc. 2008;106(10):655-659.</w:t>
      </w:r>
    </w:p>
    <w:p w14:paraId="16DD376F" w14:textId="77777777" w:rsidR="00B77927" w:rsidRDefault="00000000">
      <w:pPr>
        <w:spacing w:after="60"/>
        <w:ind w:left="432" w:hanging="432"/>
      </w:pPr>
      <w:r>
        <w:rPr>
          <w:sz w:val="18"/>
        </w:rPr>
        <w:t>13. Soliman AT, Nasr I, Thabet A, Rizk MM, El Matary W. Human chorionic gonadotropin therapy in adolescent boys with constitutional delayed puberty vs those with beta-thalassemia major. Metabolism. 2005;54(1):15-23.</w:t>
      </w:r>
    </w:p>
    <w:p w14:paraId="3FA46B40" w14:textId="77777777" w:rsidR="00B77927" w:rsidRDefault="00000000">
      <w:pPr>
        <w:spacing w:after="60"/>
        <w:ind w:left="432" w:hanging="432"/>
      </w:pPr>
      <w:r>
        <w:rPr>
          <w:sz w:val="18"/>
        </w:rPr>
        <w:t>14. Buretic-Tomljanovic A, Vlastelic I, Radojcic Badovinac A, et al. The impact of hemochromatosis mutations and transferrin genotype on gonadotropin serum levels in infertile men. Fertil Steril. 2008;91(5):1793-1800.</w:t>
      </w:r>
    </w:p>
    <w:p w14:paraId="21B34C7F" w14:textId="77777777" w:rsidR="00B77927" w:rsidRDefault="00000000">
      <w:pPr>
        <w:spacing w:after="60"/>
        <w:ind w:left="432" w:hanging="432"/>
      </w:pPr>
      <w:r>
        <w:rPr>
          <w:sz w:val="18"/>
        </w:rPr>
        <w:t>15. Diamond T, Stiel D, Posen S. Effects of testosterone and venesection on spinal and peripheral bone mineral in six hypogonadal men with hemochromatosis. J Bone Miner Res. 1991;6(1):39-43.</w:t>
      </w:r>
    </w:p>
    <w:p w14:paraId="768A5A3B" w14:textId="77777777" w:rsidR="00B77927" w:rsidRDefault="00000000">
      <w:pPr>
        <w:spacing w:after="60"/>
        <w:ind w:left="432" w:hanging="432"/>
      </w:pPr>
      <w:r>
        <w:rPr>
          <w:sz w:val="18"/>
        </w:rPr>
        <w:t>16. Rishaug U, Bell H, Haug E. Hemochromatosis -- a rare cause of hypogonadism. Tidsskr Nor Laegeforen. 1999;119(19):2818-2819.</w:t>
      </w:r>
    </w:p>
    <w:p w14:paraId="34B48F2E" w14:textId="77777777" w:rsidR="00B77927" w:rsidRDefault="00000000">
      <w:pPr>
        <w:spacing w:after="60"/>
        <w:ind w:left="432" w:hanging="432"/>
      </w:pPr>
      <w:r>
        <w:rPr>
          <w:sz w:val="18"/>
        </w:rPr>
        <w:lastRenderedPageBreak/>
        <w:t>17. ten Kate-Booij MJ, van Guldener C, Cobbaert CM. Anejaculation caused by haemosiderosis: male infertility in hereditary haemochromatosis. Ned Tijdschr Geneeskd. 2007;151(20):1105-1108.</w:t>
      </w:r>
    </w:p>
    <w:p w14:paraId="0DE5BA65" w14:textId="77777777" w:rsidR="00B77927" w:rsidRDefault="00000000">
      <w:pPr>
        <w:spacing w:after="60"/>
        <w:ind w:left="432" w:hanging="432"/>
      </w:pPr>
      <w:r>
        <w:rPr>
          <w:sz w:val="18"/>
        </w:rPr>
        <w:t>18. Kurniawan LB, Widyasworo N, Hamid F, et al. Testicular dysfunction caused by iron excess through hepcidin-ferroportin-mediated steroidogenesis suppression. Food Funct. 2019;10(7):4191-4200.</w:t>
      </w:r>
    </w:p>
    <w:p w14:paraId="412C70A2" w14:textId="77777777" w:rsidR="00B77927" w:rsidRDefault="00000000">
      <w:pPr>
        <w:spacing w:after="60"/>
        <w:ind w:left="432" w:hanging="432"/>
      </w:pPr>
      <w:r>
        <w:rPr>
          <w:sz w:val="18"/>
        </w:rPr>
        <w:t>19. Toumba M, Sergis A, Kanaris C, Skordis N. Endocrine complications in patients with thalassaemia major. Pediatr Endocrinol Rev. 2007;5(2):642-648. PMID: 18084158</w:t>
      </w:r>
    </w:p>
    <w:p w14:paraId="60E9DCAD" w14:textId="77777777" w:rsidR="00B77927" w:rsidRDefault="00000000">
      <w:pPr>
        <w:spacing w:after="60"/>
        <w:ind w:left="432" w:hanging="432"/>
      </w:pPr>
      <w:r>
        <w:rPr>
          <w:sz w:val="18"/>
        </w:rPr>
        <w:t>20. Al-Agha AE, Bawahab NS, Nagadi SA, et al. Endocrinopathies complicating transfusion-dependent hemoglobinopathy. Saudi Med J. 2020;41(2):138-143. DOI: 10.15537/smj.2020.2.24845</w:t>
      </w:r>
    </w:p>
    <w:p w14:paraId="06C3D349" w14:textId="77777777" w:rsidR="00B77927" w:rsidRDefault="00000000">
      <w:pPr>
        <w:spacing w:after="60"/>
        <w:ind w:left="432" w:hanging="432"/>
      </w:pPr>
      <w:r>
        <w:rPr>
          <w:sz w:val="18"/>
        </w:rPr>
        <w:t>21. Wu HP, Lin CL, Chang YC, et al. Survival and complication rates in patients with thalassemia major in Taiwan. Pediatr Blood Cancer. 2017;64(1):135-138. DOI: 10.1002/pbc.26181</w:t>
      </w:r>
    </w:p>
    <w:p w14:paraId="218D435B" w14:textId="77777777" w:rsidR="00B77927" w:rsidRDefault="00000000">
      <w:pPr>
        <w:spacing w:after="60"/>
        <w:ind w:left="432" w:hanging="432"/>
      </w:pPr>
      <w:r>
        <w:rPr>
          <w:sz w:val="18"/>
        </w:rPr>
        <w:t>22. Mahwi TO, Rashid ZG, Ahmed SF. Hypogonadism among patients with transfusion-dependent thalassemia: a cross-sectional study. Ann Med Surg (Lond). 2023;85(7):3418-3422. DOI: 10.1097/MS9.0000000000000947</w:t>
      </w:r>
    </w:p>
    <w:p w14:paraId="435DB780" w14:textId="77777777" w:rsidR="00B77927" w:rsidRDefault="00000000">
      <w:pPr>
        <w:spacing w:after="60"/>
        <w:ind w:left="432" w:hanging="432"/>
      </w:pPr>
      <w:r>
        <w:rPr>
          <w:sz w:val="18"/>
        </w:rPr>
        <w:t>23. Chow LC, Lee BS, Tang SO, et al. Iron burden and endocrine complications in transfusion-dependent thalassemia patients in Sarawak, Malaysia: a retrospective study. Med J Malaysia. 2024;79(3):281-287. PMID: 38817060</w:t>
      </w:r>
    </w:p>
    <w:p w14:paraId="7D55813D" w14:textId="77777777" w:rsidR="00B77927" w:rsidRDefault="00000000">
      <w:pPr>
        <w:spacing w:after="60"/>
        <w:ind w:left="432" w:hanging="432"/>
      </w:pPr>
      <w:r>
        <w:rPr>
          <w:sz w:val="18"/>
        </w:rPr>
        <w:t>24. Gabrielsen JS, Lamb DJ, Lipshultz LI. Iron and a man's reproductive health: the good, the bad, and the ugly. Curr Urol Rep. 2018;19(8):60. DOI: 10.1007/s11934-018-0808-x</w:t>
      </w:r>
    </w:p>
    <w:p w14:paraId="544BF5E6" w14:textId="77777777" w:rsidR="00B77927" w:rsidRDefault="00000000">
      <w:pPr>
        <w:spacing w:after="60"/>
        <w:ind w:left="432" w:hanging="432"/>
      </w:pPr>
      <w:r>
        <w:rPr>
          <w:sz w:val="18"/>
        </w:rPr>
        <w:t>25. El Osta R, Grandpre N, Monnin N, Hubert J, Koscinski I. Hypogonadotropic hypogonadism in men with hereditary hemochromatosis. Basic Clin Androl. 2017;27:13. DOI: 10.1186/s12610-017-0057-8</w:t>
      </w:r>
    </w:p>
    <w:p w14:paraId="0125523F" w14:textId="77777777" w:rsidR="00B77927" w:rsidRDefault="00000000">
      <w:pPr>
        <w:spacing w:after="60"/>
        <w:ind w:left="432" w:hanging="432"/>
      </w:pPr>
      <w:r>
        <w:rPr>
          <w:sz w:val="18"/>
        </w:rPr>
        <w:t>26. Page MJ, McKenzie JE, Bossuyt PM, et al. The PRISMA 2020 statement: an updated guideline for reporting systematic reviews. BMJ. 2021;372:n71.</w:t>
      </w:r>
    </w:p>
    <w:p w14:paraId="0FD0FEA0" w14:textId="77777777" w:rsidR="00B77927" w:rsidRDefault="00000000">
      <w:pPr>
        <w:spacing w:after="60"/>
        <w:ind w:left="432" w:hanging="432"/>
      </w:pPr>
      <w:r>
        <w:rPr>
          <w:sz w:val="18"/>
        </w:rPr>
        <w:t>27. DerSimonian R, Laird N. Meta-analysis in clinical trials. Control Clin Trials. 1986;7(3):177-188.</w:t>
      </w:r>
    </w:p>
    <w:p w14:paraId="5FC4FB65" w14:textId="77777777" w:rsidR="00B77927" w:rsidRDefault="00000000">
      <w:pPr>
        <w:spacing w:after="60"/>
        <w:ind w:left="432" w:hanging="432"/>
      </w:pPr>
      <w:r>
        <w:rPr>
          <w:sz w:val="18"/>
        </w:rPr>
        <w:t>28. Freeman MF, Tukey JW. Transformations related to the angular and the square root. Ann Math Stat. 1950;21(4):607-611.</w:t>
      </w:r>
    </w:p>
    <w:p w14:paraId="22ED2AAC" w14:textId="77777777" w:rsidR="00B77927" w:rsidRDefault="00000000">
      <w:r>
        <w:rPr>
          <w:sz w:val="18"/>
        </w:rPr>
        <w:t>33. Singer ST, Killilea D, Suh JH, et al. Fertility in transfusion-dependent thalassemia men: effects of iron burden on the reproductive axis. Am J Hematol. 2015;90(9):E190-E192. DOI: 10.1002/ajh.24083</w:t>
      </w:r>
    </w:p>
    <w:p>
      <w:r>
        <w:t>34. Carlomagno F, Tenuta M, Sansone A, et al. Iron overload disorders in adults: a comprehensive review of gonadal function, reproductive, and sexual health. Hum Reprod Update. 2026;32(5):663-690. DOI: 10.1093/humupd/dmag010</w:t>
      </w:r>
    </w:p>
    <w:p w14:paraId="7F8AC399" w14:textId="77777777" w:rsidR="00B77927" w:rsidRPr="00C74002" w:rsidRDefault="00000000">
      <w:pPr>
        <w:rPr>
          <w:lang w:val="pt-BR"/>
        </w:rPr>
      </w:pPr>
      <w:r>
        <w:rPr>
          <w:sz w:val="18"/>
        </w:rPr>
        <w:t xml:space="preserve">32. Chen MJ, Peng SS, Lu MY, et al. Effect of iron overload on impaired fertility in male patients with transfusion-dependent beta-thalassemia. </w:t>
      </w:r>
      <w:r>
        <w:rPr>
          <w:sz w:val="18"/>
          <w:lang w:val="pt-BR"/>
        </w:rPr>
        <w:t>Pediatr Res. 2018;83(3):655-661. DOI: 10.1038/pr.2017.296</w:t>
      </w:r>
    </w:p>
    <w:p w14:paraId="097ED0DA" w14:textId="77777777" w:rsidR="00B77927" w:rsidRDefault="00000000">
      <w:r>
        <w:rPr>
          <w:sz w:val="18"/>
          <w:lang w:val="pt-BR"/>
        </w:rPr>
        <w:t xml:space="preserve">31. Nayak AM, Choudhari A, Patkar DP, Merchant RH. </w:t>
      </w:r>
      <w:r>
        <w:rPr>
          <w:sz w:val="18"/>
        </w:rPr>
        <w:t>Pituitary volume and iron overload evaluation by 3T MRI in thalassemia. Indian J Pediatr. 2021;88(7):656-662. DOI: 10.1007/s12098-020-03629-w</w:t>
      </w:r>
    </w:p>
    <w:p w14:paraId="611EEFDE" w14:textId="77777777" w:rsidR="00B77927" w:rsidRDefault="00000000">
      <w:r>
        <w:rPr>
          <w:sz w:val="18"/>
        </w:rPr>
        <w:t>30. Lam WW, Au W, Chu WC, et al. One-stop measurement of iron deposition in the anterior pituitary, liver, and heart in thalassemia patients. J Magn Reson Imaging. 2008;28(1):29-33. DOI: 10.1002/jmri.21433</w:t>
      </w:r>
    </w:p>
    <w:p w14:paraId="7AE50C15" w14:textId="77777777" w:rsidR="00B77927" w:rsidRDefault="00000000">
      <w:r>
        <w:rPr>
          <w:sz w:val="18"/>
        </w:rPr>
        <w:t>29. Noetzli LJ, Panigrahy A, Mittelman SD, et al. Pituitary iron and volume predict hypogonadism in transfusional iron overload. Am J Hematol. 2012;87(2):167-171. DOI: 10.1002/ajh.22247</w:t>
      </w:r>
    </w:p>
    <w:sectPr w:rsidR="00B77927" w:rsidSect="00034616">
      <w:pgSz w:w="12240" w:h="15840"/>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1234605">
    <w:abstractNumId w:val="8"/>
  </w:num>
  <w:num w:numId="2" w16cid:durableId="333653768">
    <w:abstractNumId w:val="6"/>
  </w:num>
  <w:num w:numId="3" w16cid:durableId="1595435815">
    <w:abstractNumId w:val="5"/>
  </w:num>
  <w:num w:numId="4" w16cid:durableId="1239898802">
    <w:abstractNumId w:val="4"/>
  </w:num>
  <w:num w:numId="5" w16cid:durableId="93211227">
    <w:abstractNumId w:val="7"/>
  </w:num>
  <w:num w:numId="6" w16cid:durableId="1761682688">
    <w:abstractNumId w:val="3"/>
  </w:num>
  <w:num w:numId="7" w16cid:durableId="2045595648">
    <w:abstractNumId w:val="2"/>
  </w:num>
  <w:num w:numId="8" w16cid:durableId="530918227">
    <w:abstractNumId w:val="1"/>
  </w:num>
  <w:num w:numId="9" w16cid:durableId="173500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79D5"/>
    <w:rsid w:val="00AA1D8D"/>
    <w:rsid w:val="00B47730"/>
    <w:rsid w:val="00B77927"/>
    <w:rsid w:val="00C7400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BC7BA7"/>
  <w14:defaultImageDpi w14:val="300"/>
  <w15:docId w15:val="{6A3666C2-2D46-0F40-A2F4-EA8C656F1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5898</Words>
  <Characters>33623</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39443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Borges, Julian</cp:lastModifiedBy>
  <cp:revision>2</cp:revision>
  <dcterms:created xsi:type="dcterms:W3CDTF">2013-12-23T23:15:00Z</dcterms:created>
  <dcterms:modified xsi:type="dcterms:W3CDTF">2026-03-18T12:11:00Z</dcterms:modified>
  <cp:category/>
</cp:coreProperties>
</file>