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6FB3743B" w:rsidR="22FE9257" w:rsidRDefault="00925C2D" w:rsidP="41B2D6B5">
      <w:pPr>
        <w:spacing w:after="240" w:line="480" w:lineRule="auto"/>
      </w:pPr>
      <w:r>
        <w:rPr>
          <w:rFonts w:ascii="Times New Roman" w:eastAsia="Times New Roman" w:hAnsi="Times New Roman" w:cs="Times New Roman"/>
          <w:b/>
          <w:bCs/>
          <w:sz w:val="30"/>
          <w:szCs w:val="30"/>
        </w:rPr>
        <w:t>Detecting exceptional neutral genetic changes</w:t>
      </w:r>
      <w:r w:rsidR="41B2D6B5" w:rsidRPr="41B2D6B5">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in resampled 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5">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51E38A04"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r w:rsidR="004446BB">
        <w:rPr>
          <w:rFonts w:ascii="Times New Roman" w:eastAsia="Times New Roman" w:hAnsi="Times New Roman" w:cs="Times New Roman"/>
          <w:sz w:val="24"/>
          <w:szCs w:val="24"/>
        </w:rPr>
        <w:t xml:space="preserve">Unique </w:t>
      </w:r>
      <w:proofErr w:type="spellStart"/>
      <w:r w:rsidR="004446BB">
        <w:rPr>
          <w:rFonts w:ascii="Times New Roman" w:eastAsia="Times New Roman" w:hAnsi="Times New Roman" w:cs="Times New Roman"/>
          <w:sz w:val="24"/>
          <w:szCs w:val="24"/>
        </w:rPr>
        <w:t>s</w:t>
      </w:r>
      <w:r w:rsidRPr="41B2D6B5">
        <w:rPr>
          <w:rFonts w:ascii="Times New Roman" w:eastAsia="Times New Roman" w:hAnsi="Times New Roman" w:cs="Times New Roman"/>
          <w:sz w:val="24"/>
          <w:szCs w:val="24"/>
        </w:rPr>
        <w:t>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6CD918D1" w:rsidR="22FE9257"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Default="00EF25C5" w:rsidP="41B2D6B5">
      <w:pPr>
        <w:spacing w:after="240" w:line="480" w:lineRule="auto"/>
        <w:rPr>
          <w:rFonts w:ascii="Times New Roman" w:eastAsia="Times New Roman" w:hAnsi="Times New Roman" w:cs="Times New Roman"/>
          <w:sz w:val="24"/>
          <w:szCs w:val="24"/>
        </w:rPr>
      </w:pPr>
    </w:p>
    <w:p w14:paraId="02617B0F" w14:textId="70BAAF42" w:rsidR="00EF25C5" w:rsidRDefault="00EF25C5" w:rsidP="41B2D6B5">
      <w:pPr>
        <w:spacing w:after="240" w:line="480" w:lineRule="auto"/>
        <w:rPr>
          <w:rFonts w:ascii="Times New Roman" w:eastAsia="Times New Roman" w:hAnsi="Times New Roman" w:cs="Times New Roman"/>
          <w:sz w:val="24"/>
          <w:szCs w:val="24"/>
        </w:rPr>
      </w:pPr>
    </w:p>
    <w:p w14:paraId="44E27BC0" w14:textId="3FB26092" w:rsidR="00EF25C5" w:rsidRDefault="00EF25C5" w:rsidP="41B2D6B5">
      <w:pPr>
        <w:spacing w:after="240" w:line="480" w:lineRule="auto"/>
        <w:rPr>
          <w:rFonts w:ascii="Times New Roman" w:eastAsia="Times New Roman" w:hAnsi="Times New Roman" w:cs="Times New Roman"/>
          <w:sz w:val="24"/>
          <w:szCs w:val="24"/>
        </w:rPr>
      </w:pPr>
    </w:p>
    <w:p w14:paraId="392FA97D" w14:textId="77777777" w:rsidR="00EF25C5" w:rsidRDefault="00EF25C5" w:rsidP="41B2D6B5">
      <w:pPr>
        <w:spacing w:after="240" w:line="480" w:lineRule="auto"/>
        <w:rPr>
          <w:rFonts w:ascii="Times New Roman" w:eastAsia="Times New Roman" w:hAnsi="Times New Roman" w:cs="Times New Roman"/>
          <w:sz w:val="24"/>
          <w:szCs w:val="24"/>
        </w:rPr>
      </w:pPr>
    </w:p>
    <w:p w14:paraId="50CE5E00" w14:textId="4AC1C4F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lastRenderedPageBreak/>
        <w:t>INTRODUCTION</w:t>
      </w:r>
    </w:p>
    <w:p w14:paraId="49FDE197" w14:textId="77777777" w:rsidR="0048677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Global</w:t>
      </w:r>
      <w:r w:rsidRPr="005D64D3">
        <w:rPr>
          <w:rFonts w:ascii="Times New Roman" w:eastAsia="Times New Roman" w:hAnsi="Times New Roman" w:cs="Times New Roman"/>
          <w:sz w:val="24"/>
          <w:szCs w:val="24"/>
        </w:rPr>
        <w:t xml:space="preserve"> change</w:t>
      </w:r>
      <w:r w:rsidRPr="005D64D3">
        <w:rPr>
          <w:rFonts w:ascii="Times New Roman" w:eastAsia="Times New Roman" w:hAnsi="Times New Roman" w:cs="Times New Roman"/>
          <w:sz w:val="24"/>
          <w:szCs w:val="24"/>
        </w:rPr>
        <w:t xml:space="preserv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w:t>
      </w:r>
      <w:r w:rsidRPr="005D64D3">
        <w:rPr>
          <w:rFonts w:ascii="Times New Roman" w:eastAsia="Times New Roman" w:hAnsi="Times New Roman" w:cs="Times New Roman"/>
          <w:sz w:val="24"/>
          <w:szCs w:val="24"/>
        </w:rPr>
        <w:t>caused b</w:t>
      </w:r>
      <w:r w:rsidRPr="005D64D3">
        <w:rPr>
          <w:rFonts w:ascii="Times New Roman" w:eastAsia="Times New Roman" w:hAnsi="Times New Roman" w:cs="Times New Roman"/>
          <w:sz w:val="24"/>
          <w:szCs w:val="24"/>
        </w:rPr>
        <w:t>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is </w:t>
      </w:r>
      <w:r w:rsidR="004E3308">
        <w:rPr>
          <w:rFonts w:ascii="Times New Roman" w:eastAsia="Times New Roman" w:hAnsi="Times New Roman" w:cs="Times New Roman"/>
          <w:sz w:val="24"/>
          <w:szCs w:val="24"/>
        </w:rPr>
        <w:t xml:space="preserve">likely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5D64D3" w:rsidRPr="00E37BBE">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B1288E">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
    <w:p w14:paraId="05AD893E" w14:textId="76D14B42" w:rsidR="00156869" w:rsidRPr="00E536D6" w:rsidRDefault="00A547BA" w:rsidP="00B1288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B20D6F">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w:t>
      </w:r>
      <w:r w:rsidR="00486776">
        <w:rPr>
          <w:rFonts w:ascii="Times New Roman" w:eastAsia="Times New Roman" w:hAnsi="Times New Roman" w:cs="Times New Roman"/>
          <w:sz w:val="24"/>
          <w:szCs w:val="24"/>
        </w:rPr>
        <w:t>,</w:t>
      </w:r>
      <w:r w:rsidR="00EC7BAD">
        <w:rPr>
          <w:rFonts w:ascii="Times New Roman" w:eastAsia="Times New Roman" w:hAnsi="Times New Roman" w:cs="Times New Roman"/>
          <w:sz w:val="24"/>
          <w:szCs w:val="24"/>
        </w:rPr>
        <w:t xml:space="preserve">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2E06AC">
        <w:rPr>
          <w:rFonts w:ascii="Times New Roman" w:eastAsia="Times New Roman" w:hAnsi="Times New Roman" w:cs="Times New Roman"/>
          <w:sz w:val="24"/>
          <w:szCs w:val="24"/>
        </w:rPr>
        <w:t>,</w:t>
      </w:r>
      <w:r w:rsidR="000E0725">
        <w:rPr>
          <w:rFonts w:ascii="Times New Roman" w:eastAsia="Times New Roman" w:hAnsi="Times New Roman" w:cs="Times New Roman"/>
          <w:sz w:val="24"/>
          <w:szCs w:val="24"/>
        </w:rPr>
        <w:t xml:space="preserve"> and</w:t>
      </w:r>
      <w:r w:rsidR="002E06AC">
        <w:rPr>
          <w:rFonts w:ascii="Times New Roman" w:eastAsia="Times New Roman" w:hAnsi="Times New Roman" w:cs="Times New Roman"/>
          <w:sz w:val="24"/>
          <w:szCs w:val="24"/>
        </w:rPr>
        <w:t xml:space="preserve"> increasing our predictive abilities, notably through model validation and development.</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w:t>
      </w:r>
      <w:r w:rsidR="00F358C6">
        <w:rPr>
          <w:rFonts w:ascii="Times New Roman" w:eastAsia="Times New Roman" w:hAnsi="Times New Roman" w:cs="Times New Roman"/>
          <w:sz w:val="24"/>
          <w:szCs w:val="24"/>
        </w:rPr>
        <w:t xml:space="preserve">change </w:t>
      </w:r>
      <w:r w:rsidR="00B20D6F">
        <w:rPr>
          <w:rFonts w:ascii="Times New Roman" w:eastAsia="Times New Roman" w:hAnsi="Times New Roman" w:cs="Times New Roman"/>
          <w:sz w:val="24"/>
          <w:szCs w:val="24"/>
        </w:rPr>
        <w:t>trends</w:t>
      </w:r>
      <w:r w:rsidR="001D11C3">
        <w:rPr>
          <w:rFonts w:ascii="Times New Roman" w:eastAsia="Times New Roman" w:hAnsi="Times New Roman" w:cs="Times New Roman"/>
          <w:sz w:val="24"/>
          <w:szCs w:val="24"/>
        </w:rPr>
        <w:t>, and associated uncertainty,</w:t>
      </w:r>
      <w:r w:rsidR="00B20D6F">
        <w:rPr>
          <w:rFonts w:ascii="Times New Roman" w:eastAsia="Times New Roman" w:hAnsi="Times New Roman" w:cs="Times New Roman"/>
          <w:sz w:val="24"/>
          <w:szCs w:val="24"/>
        </w:rPr>
        <w:t xml:space="preserve"> have </w:t>
      </w:r>
      <w:r w:rsidR="005E361A">
        <w:rPr>
          <w:rFonts w:ascii="Times New Roman" w:eastAsia="Times New Roman" w:hAnsi="Times New Roman" w:cs="Times New Roman"/>
          <w:sz w:val="24"/>
          <w:szCs w:val="24"/>
        </w:rPr>
        <w:t xml:space="preserve">long </w:t>
      </w:r>
      <w:r w:rsidR="00B20D6F">
        <w:rPr>
          <w:rFonts w:ascii="Times New Roman" w:eastAsia="Times New Roman" w:hAnsi="Times New Roman" w:cs="Times New Roman"/>
          <w:sz w:val="24"/>
          <w:szCs w:val="24"/>
        </w:rPr>
        <w:t xml:space="preserve">been closely 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r w:rsidR="00B20D6F">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486776">
        <w:t xml:space="preserve">; </w:t>
      </w:r>
      <w:r w:rsidR="00E536D6">
        <w:rPr>
          <w:rFonts w:ascii="Times New Roman" w:eastAsia="Times New Roman" w:hAnsi="Times New Roman" w:cs="Times New Roman"/>
          <w:sz w:val="24"/>
          <w:szCs w:val="24"/>
        </w:rPr>
        <w:t>IPCC</w:t>
      </w:r>
      <w:r w:rsidR="00486776">
        <w:rPr>
          <w:rFonts w:ascii="Times New Roman" w:eastAsia="Times New Roman" w:hAnsi="Times New Roman" w:cs="Times New Roman"/>
          <w:sz w:val="24"/>
          <w:szCs w:val="24"/>
        </w:rPr>
        <w:t>,</w:t>
      </w:r>
      <w:r w:rsidR="00E536D6">
        <w:rPr>
          <w:rFonts w:ascii="Times New Roman" w:eastAsia="Times New Roman" w:hAnsi="Times New Roman" w:cs="Times New Roman"/>
          <w:sz w:val="24"/>
          <w:szCs w:val="24"/>
        </w:rPr>
        <w:t xml:space="preserve">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more 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p>
    <w:p w14:paraId="5D43CC2E" w14:textId="298A44EA"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7A2DAB">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t>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micro</w:t>
      </w:r>
      <w:r w:rsidR="001D11C3">
        <w:rPr>
          <w:rFonts w:ascii="Times New Roman" w:eastAsia="Times New Roman" w:hAnsi="Times New Roman" w:cs="Times New Roman"/>
          <w:sz w:val="24"/>
          <w:szCs w:val="24"/>
        </w:rPr>
        <w:t>-</w:t>
      </w:r>
      <w:r w:rsidR="00050A75" w:rsidRPr="00050A75">
        <w:rPr>
          <w:rFonts w:ascii="Times New Roman" w:eastAsia="Times New Roman" w:hAnsi="Times New Roman" w:cs="Times New Roman"/>
          <w:sz w:val="24"/>
          <w:szCs w:val="24"/>
        </w:rPr>
        <w:t>evolutionary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 xml:space="preserve">(Manel, Schwartz, Luikart, &amp; Taberlet, 2003; Manel &amp; Holderegger, 2013; Wagner &amp; Fortin, 2013; Balkenhol, Cushman, Storfer, &amp; Waits, </w:t>
      </w:r>
      <w:r w:rsidR="00042F44" w:rsidRPr="00042F44">
        <w:rPr>
          <w:rFonts w:ascii="Times New Roman" w:eastAsia="Times New Roman" w:hAnsi="Times New Roman" w:cs="Times New Roman"/>
          <w:noProof/>
          <w:sz w:val="24"/>
          <w:szCs w:val="24"/>
        </w:rPr>
        <w:lastRenderedPageBreak/>
        <w:t>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AD6530">
        <w:rPr>
          <w:rFonts w:ascii="Times New Roman" w:eastAsia="Times New Roman" w:hAnsi="Times New Roman" w:cs="Times New Roman"/>
          <w:sz w:val="24"/>
          <w:szCs w:val="24"/>
        </w:rPr>
        <w:t>and therefore movement</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
    <w:p w14:paraId="5E04CE7D" w14:textId="3B44944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sidR="003C240A">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sidR="00A32C6C">
        <w:rPr>
          <w:rFonts w:ascii="Times New Roman" w:eastAsia="Times New Roman" w:hAnsi="Times New Roman" w:cs="Times New Roman"/>
          <w:sz w:val="24"/>
          <w:szCs w:val="24"/>
        </w:rPr>
        <w:t xml:space="preserve">landscape geneticists, </w:t>
      </w:r>
      <w:r w:rsidRPr="41B2D6B5">
        <w:rPr>
          <w:rFonts w:ascii="Times New Roman" w:eastAsia="Times New Roman" w:hAnsi="Times New Roman" w:cs="Times New Roman"/>
          <w:sz w:val="24"/>
          <w:szCs w:val="24"/>
        </w:rPr>
        <w:t xml:space="preserve">is to detect and predict where and when extraneous disturbance events influence the ecological dynamics and the evolution of species. </w:t>
      </w:r>
      <w:r w:rsidR="003C240A" w:rsidRPr="006C73EF">
        <w:rPr>
          <w:rFonts w:ascii="Times New Roman" w:eastAsia="Times New Roman" w:hAnsi="Times New Roman" w:cs="Times New Roman"/>
          <w:sz w:val="24"/>
          <w:szCs w:val="24"/>
        </w:rPr>
        <w:t>Changes</w:t>
      </w:r>
      <w:r w:rsidR="003C240A" w:rsidRPr="41B2D6B5">
        <w:rPr>
          <w:rFonts w:ascii="Times New Roman" w:eastAsia="Times New Roman" w:hAnsi="Times New Roman" w:cs="Times New Roman"/>
          <w:sz w:val="24"/>
          <w:szCs w:val="24"/>
        </w:rPr>
        <w:t xml:space="preserve"> in genetic </w:t>
      </w:r>
      <w:r w:rsidR="007A2DAB">
        <w:rPr>
          <w:rFonts w:ascii="Times New Roman" w:eastAsia="Times New Roman" w:hAnsi="Times New Roman" w:cs="Times New Roman"/>
          <w:sz w:val="24"/>
          <w:szCs w:val="24"/>
        </w:rPr>
        <w:t>diversity</w:t>
      </w:r>
      <w:r w:rsidR="003C240A" w:rsidRPr="41B2D6B5">
        <w:rPr>
          <w:rFonts w:ascii="Times New Roman" w:eastAsia="Times New Roman" w:hAnsi="Times New Roman" w:cs="Times New Roman"/>
          <w:sz w:val="24"/>
          <w:szCs w:val="24"/>
        </w:rPr>
        <w:t xml:space="preserve"> can be the result of natural or anthropogenic disturbance at any temporal scale, from a local and abrupt change like a wildfire to a global and gradual change like climate warming</w:t>
      </w:r>
      <w:r w:rsidR="006E4383">
        <w:rPr>
          <w:rFonts w:ascii="Times New Roman" w:eastAsia="Times New Roman" w:hAnsi="Times New Roman" w:cs="Times New Roman"/>
          <w:sz w:val="24"/>
          <w:szCs w:val="24"/>
        </w:rPr>
        <w:t xml:space="preserve"> </w:t>
      </w:r>
      <w:r w:rsidR="006E4383">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Pr>
          <w:rFonts w:ascii="Times New Roman" w:eastAsia="Times New Roman" w:hAnsi="Times New Roman" w:cs="Times New Roman"/>
          <w:sz w:val="24"/>
          <w:szCs w:val="24"/>
        </w:rPr>
        <w:fldChar w:fldCharType="separate"/>
      </w:r>
      <w:r w:rsidR="006E4383" w:rsidRPr="006E4383">
        <w:rPr>
          <w:rFonts w:ascii="Times New Roman" w:eastAsia="Times New Roman" w:hAnsi="Times New Roman" w:cs="Times New Roman"/>
          <w:noProof/>
          <w:sz w:val="24"/>
          <w:szCs w:val="24"/>
        </w:rPr>
        <w:t>(Manel &amp; Holderegger, 2013)</w:t>
      </w:r>
      <w:r w:rsidR="006E4383">
        <w:rPr>
          <w:rFonts w:ascii="Times New Roman" w:eastAsia="Times New Roman" w:hAnsi="Times New Roman" w:cs="Times New Roman"/>
          <w:sz w:val="24"/>
          <w:szCs w:val="24"/>
        </w:rPr>
        <w:fldChar w:fldCharType="end"/>
      </w:r>
      <w:r w:rsidR="003C240A" w:rsidRPr="41B2D6B5">
        <w:rPr>
          <w:rFonts w:ascii="Times New Roman" w:eastAsia="Times New Roman" w:hAnsi="Times New Roman" w:cs="Times New Roman"/>
          <w:sz w:val="24"/>
          <w:szCs w:val="24"/>
        </w:rPr>
        <w:t>. However, it is rarely possible to observe the effects of these events instantaneously and researchers are often left with their</w:t>
      </w:r>
      <w:r w:rsidR="00E1253F">
        <w:rPr>
          <w:rFonts w:ascii="Times New Roman" w:eastAsia="Times New Roman" w:hAnsi="Times New Roman" w:cs="Times New Roman"/>
          <w:sz w:val="24"/>
          <w:szCs w:val="24"/>
        </w:rPr>
        <w:t xml:space="preserve"> spatial</w:t>
      </w:r>
      <w:r w:rsidR="003C240A" w:rsidRPr="41B2D6B5">
        <w:rPr>
          <w:rFonts w:ascii="Times New Roman" w:eastAsia="Times New Roman" w:hAnsi="Times New Roman" w:cs="Times New Roman"/>
          <w:sz w:val="24"/>
          <w:szCs w:val="24"/>
        </w:rPr>
        <w:t xml:space="preserve"> legacies which may be cryptic.</w:t>
      </w:r>
      <w:r w:rsidR="003C240A">
        <w:rPr>
          <w:rFonts w:ascii="Times New Roman" w:eastAsia="Times New Roman" w:hAnsi="Times New Roman" w:cs="Times New Roman"/>
          <w:sz w:val="24"/>
          <w:szCs w:val="24"/>
        </w:rPr>
        <w:t xml:space="preserve"> </w:t>
      </w:r>
      <w:r w:rsidR="00533C15" w:rsidRPr="41B2D6B5">
        <w:rPr>
          <w:rFonts w:ascii="Times New Roman" w:eastAsia="Times New Roman" w:hAnsi="Times New Roman" w:cs="Times New Roman"/>
          <w:sz w:val="24"/>
          <w:szCs w:val="24"/>
        </w:rPr>
        <w:t>When a disturbance does not constitute a selective pressure, alleles are randomly transferred from a generation to the next and genetic drift happens leading to a loss of diversity. Common examples of situations where genetic drift occurs i</w:t>
      </w:r>
      <w:r w:rsidR="00533C15">
        <w:rPr>
          <w:rFonts w:ascii="Times New Roman" w:eastAsia="Times New Roman" w:hAnsi="Times New Roman" w:cs="Times New Roman"/>
          <w:sz w:val="24"/>
          <w:szCs w:val="24"/>
        </w:rPr>
        <w:t xml:space="preserve">nclude geographic isolation, </w:t>
      </w:r>
      <w:r w:rsidR="00533C15" w:rsidRPr="41B2D6B5">
        <w:rPr>
          <w:rFonts w:ascii="Times New Roman" w:eastAsia="Times New Roman" w:hAnsi="Times New Roman" w:cs="Times New Roman"/>
          <w:sz w:val="24"/>
          <w:szCs w:val="24"/>
        </w:rPr>
        <w:t xml:space="preserve">population bottleneck </w:t>
      </w:r>
      <w:r w:rsidR="00533C15">
        <w:rPr>
          <w:rFonts w:ascii="Times New Roman" w:eastAsia="Times New Roman" w:hAnsi="Times New Roman" w:cs="Times New Roman"/>
          <w:sz w:val="24"/>
          <w:szCs w:val="24"/>
        </w:rPr>
        <w:t>and m</w:t>
      </w:r>
      <w:r w:rsidR="00533C15" w:rsidRPr="41B2D6B5">
        <w:rPr>
          <w:rFonts w:ascii="Times New Roman" w:eastAsia="Times New Roman" w:hAnsi="Times New Roman" w:cs="Times New Roman"/>
          <w:sz w:val="24"/>
          <w:szCs w:val="24"/>
        </w:rPr>
        <w:t>assive migrations from previously isolated population</w:t>
      </w:r>
      <w:r w:rsidR="00533C15">
        <w:rPr>
          <w:rFonts w:ascii="Times New Roman" w:eastAsia="Times New Roman" w:hAnsi="Times New Roman" w:cs="Times New Roman"/>
          <w:sz w:val="24"/>
          <w:szCs w:val="24"/>
        </w:rPr>
        <w:t>s.</w:t>
      </w:r>
      <w:r w:rsidR="00533C15" w:rsidRPr="41B2D6B5">
        <w:rPr>
          <w:rFonts w:ascii="Times New Roman" w:eastAsia="Times New Roman" w:hAnsi="Times New Roman" w:cs="Times New Roman"/>
          <w:sz w:val="24"/>
          <w:szCs w:val="24"/>
        </w:rPr>
        <w:t xml:space="preserve"> The result of such events in a local population tend to </w:t>
      </w:r>
      <w:r w:rsidR="00533C15">
        <w:rPr>
          <w:rFonts w:ascii="Times New Roman" w:eastAsia="Times New Roman" w:hAnsi="Times New Roman" w:cs="Times New Roman"/>
          <w:sz w:val="24"/>
          <w:szCs w:val="24"/>
        </w:rPr>
        <w:t>alter</w:t>
      </w:r>
      <w:r w:rsidR="00533C15" w:rsidRPr="41B2D6B5">
        <w:rPr>
          <w:rFonts w:ascii="Times New Roman" w:eastAsia="Times New Roman" w:hAnsi="Times New Roman" w:cs="Times New Roman"/>
          <w:sz w:val="24"/>
          <w:szCs w:val="24"/>
        </w:rPr>
        <w:t xml:space="preserve"> the genetic distance of this population with surrounding populations</w:t>
      </w:r>
      <w:r w:rsidR="00533C15">
        <w:rPr>
          <w:rFonts w:ascii="Times New Roman" w:eastAsia="Times New Roman" w:hAnsi="Times New Roman" w:cs="Times New Roman"/>
          <w:sz w:val="24"/>
          <w:szCs w:val="24"/>
        </w:rPr>
        <w:t xml:space="preserve"> </w:t>
      </w:r>
      <w:r w:rsidR="00533C15">
        <w:rPr>
          <w:rFonts w:ascii="Times New Roman" w:eastAsia="Times New Roman" w:hAnsi="Times New Roman" w:cs="Times New Roman"/>
          <w:sz w:val="24"/>
          <w:szCs w:val="24"/>
        </w:rPr>
        <w:fldChar w:fldCharType="begin" w:fldLock="1"/>
      </w:r>
      <w:r w:rsidR="002E334A">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00533C15">
        <w:rPr>
          <w:rFonts w:ascii="Times New Roman" w:eastAsia="Times New Roman" w:hAnsi="Times New Roman" w:cs="Times New Roman"/>
          <w:sz w:val="24"/>
          <w:szCs w:val="24"/>
        </w:rPr>
        <w:fldChar w:fldCharType="separate"/>
      </w:r>
      <w:r w:rsidR="00533C15" w:rsidRPr="00533C15">
        <w:rPr>
          <w:rFonts w:ascii="Times New Roman" w:eastAsia="Times New Roman" w:hAnsi="Times New Roman" w:cs="Times New Roman"/>
          <w:noProof/>
          <w:sz w:val="24"/>
          <w:szCs w:val="24"/>
        </w:rPr>
        <w:t>(Segelbacher et al., 2010)</w:t>
      </w:r>
      <w:r w:rsidR="00533C15">
        <w:rPr>
          <w:rFonts w:ascii="Times New Roman" w:eastAsia="Times New Roman" w:hAnsi="Times New Roman" w:cs="Times New Roman"/>
          <w:sz w:val="24"/>
          <w:szCs w:val="24"/>
        </w:rPr>
        <w:fldChar w:fldCharType="end"/>
      </w:r>
      <w:r w:rsidR="00533C15" w:rsidRPr="41B2D6B5">
        <w:rPr>
          <w:rFonts w:ascii="Times New Roman" w:eastAsia="Times New Roman" w:hAnsi="Times New Roman" w:cs="Times New Roman"/>
          <w:sz w:val="24"/>
          <w:szCs w:val="24"/>
        </w:rPr>
        <w:t xml:space="preserve">. </w:t>
      </w:r>
      <w:r w:rsidR="00E1253F">
        <w:rPr>
          <w:rFonts w:ascii="Times New Roman" w:eastAsia="Times New Roman" w:hAnsi="Times New Roman" w:cs="Times New Roman"/>
          <w:sz w:val="24"/>
          <w:szCs w:val="24"/>
        </w:rPr>
        <w:t>D</w:t>
      </w:r>
      <w:r w:rsidR="006C73EF">
        <w:rPr>
          <w:rFonts w:ascii="Times New Roman" w:eastAsia="Times New Roman" w:hAnsi="Times New Roman" w:cs="Times New Roman"/>
          <w:sz w:val="24"/>
          <w:szCs w:val="24"/>
        </w:rPr>
        <w:t>etecting c</w:t>
      </w:r>
      <w:r w:rsidR="006C73EF" w:rsidRPr="006C73EF">
        <w:rPr>
          <w:rFonts w:ascii="Times New Roman" w:eastAsia="Times New Roman" w:hAnsi="Times New Roman" w:cs="Times New Roman"/>
          <w:sz w:val="24"/>
          <w:szCs w:val="24"/>
        </w:rPr>
        <w:t>hanges in the genetic make-up of a population</w:t>
      </w:r>
      <w:r w:rsidR="006C73EF">
        <w:rPr>
          <w:rFonts w:ascii="Times New Roman" w:eastAsia="Times New Roman" w:hAnsi="Times New Roman" w:cs="Times New Roman"/>
          <w:sz w:val="24"/>
          <w:szCs w:val="24"/>
        </w:rPr>
        <w:t xml:space="preserve"> through time</w:t>
      </w:r>
      <w:r w:rsidR="003C240A">
        <w:rPr>
          <w:rFonts w:ascii="Times New Roman" w:eastAsia="Times New Roman" w:hAnsi="Times New Roman" w:cs="Times New Roman"/>
          <w:sz w:val="24"/>
          <w:szCs w:val="24"/>
        </w:rPr>
        <w:t>, including the nature of those changes,</w:t>
      </w:r>
      <w:r w:rsidR="006C73EF">
        <w:rPr>
          <w:rFonts w:ascii="Times New Roman" w:eastAsia="Times New Roman" w:hAnsi="Times New Roman" w:cs="Times New Roman"/>
          <w:sz w:val="24"/>
          <w:szCs w:val="24"/>
        </w:rPr>
        <w:t xml:space="preserve"> </w:t>
      </w:r>
      <w:r w:rsidR="003C240A">
        <w:rPr>
          <w:rFonts w:ascii="Times New Roman" w:eastAsia="Times New Roman" w:hAnsi="Times New Roman" w:cs="Times New Roman"/>
          <w:sz w:val="24"/>
          <w:szCs w:val="24"/>
        </w:rPr>
        <w:t>may describe what is happening at the demographic level, and therefore serve as an alarm for managers.</w:t>
      </w:r>
    </w:p>
    <w:p w14:paraId="4E2975CA" w14:textId="0AA74933" w:rsidR="33780FD1" w:rsidRDefault="41B2D6B5" w:rsidP="00B77390">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sz w:val="24"/>
          <w:szCs w:val="24"/>
        </w:rPr>
        <w:t>While the development of t</w:t>
      </w:r>
      <w:r w:rsidR="002E334A">
        <w:rPr>
          <w:rFonts w:ascii="Times New Roman" w:eastAsia="Times New Roman" w:hAnsi="Times New Roman" w:cs="Times New Roman"/>
          <w:sz w:val="24"/>
          <w:szCs w:val="24"/>
        </w:rPr>
        <w:t xml:space="preserve">ools to identify aberrant loci </w:t>
      </w:r>
      <w:r w:rsidR="002E334A">
        <w:rPr>
          <w:rFonts w:ascii="Times New Roman" w:eastAsia="Times New Roman" w:hAnsi="Times New Roman" w:cs="Times New Roman"/>
          <w:sz w:val="24"/>
          <w:szCs w:val="24"/>
        </w:rPr>
        <w:fldChar w:fldCharType="begin" w:fldLock="1"/>
      </w:r>
      <w:r w:rsidR="00D41FF6">
        <w:rPr>
          <w:rFonts w:ascii="Times New Roman" w:eastAsia="Times New Roman" w:hAnsi="Times New Roman" w:cs="Times New Roman"/>
          <w:sz w:val="24"/>
          <w:szCs w:val="24"/>
        </w:rPr>
        <w:instrText>ADDIN CSL_CITATION {"citationItems":[{"id":"ITEM-1","itemData":{"DOI":"10.1111/1755-0998.12592","ISBN":"1755-0998 (Electronic) 1755-098X (Linking)","ISSN":"1755098X","PMID":"27601374","abstract":"We introduce the R package pcadapt that performs genome scans to detect genes under selection based on population genomic data. The statistical method implemented in pcadapt assumes that markers excessively related with population structure are candidates for local adaptation. Because population structure is ascertained with principal component analysis (PCA), the package is fast and can handle large-scale data generated with next-generation technologies. It can also handle missing data as well as data obtained from pooled sequencing. By contrast to population-based approaches, the package can handle admixed individuals and does not require to group individuals into predefined populations. Using data simulated under an island model, a divergence model and range expansion, we compare pcadapt to other software performing genome scans (BayeScan, hapflk, OutFLANK, sNMF). For the different software, the average proportion of false discoveries is around the nominal false discovery rate set at 10% with the exception of BayeScan that generates 40% of false discoveries. When comparing statistical power for a realized percentage of false discoveries, we find that the power of BayeScan can be severely impacted by the presence of admixed individuals whereas pcadapt is not impacted. Last, we show that pcadapt is the most powerful method in a model of range expansion where population structure is continuous. Because pcadapt can handle molecular data generated with next sequencing technologies, we anticipate that it will be a valuable tool for modern analysis in molecular ecology.","author":[{"dropping-particle":"","family":"Luu","given":"Keurcien","non-dropping-particle":"","parse-names":false,"suffix":""},{"dropping-particle":"","family":"Bazin","given":"Eric","non-dropping-particle":"","parse-names":false,"suffix":""},{"dropping-particle":"","family":"Blum","given":"Michael G. B.","non-dropping-particle":"","parse-names":false,"suffix":""}],"container-title":"Molecular Ecology Resources","id":"ITEM-1","issue":"1","issued":{"date-parts":[["2017"]]},"page":"67-77","title":"&lt;i&gt;pcadapt&lt;/i&gt; : an &lt;scp&gt;R&lt;/scp&gt; package to perform genome scans for selection based on principal component analysis","type":"article-journal","volume":"17"},"uris":["http://www.mendeley.com/documents/?uuid=06e1c5d3-fb35-4474-99e7-045376fa26fa"]},{"id":"ITEM-2","itemData":{"DOI":"10.1111/2041-210X.12382","ISSN":"2041210X","author":[{"dropping-particle":"","family":"Frichot","given":"Eric","non-dropping-particle":"","parse-names":false,"suffix":""},{"dropping-particle":"","family":"François","given":"Olivier","non-dropping-particle":"","parse-names":false,"suffix":""}],"container-title":"Methods in Ecology and Evolution","id":"ITEM-2","issue":"8","issued":{"date-parts":[["2015"]]},"page":"925-929","title":"&lt;tt&gt;LEA&lt;/tt&gt; : An &lt;tt&gt;R&lt;/tt&gt; package for landscape and ecological association studies","type":"article-journal","volume":"6"},"uris":["http://www.mendeley.com/documents/?uuid=f9e37ed1-7f3b-4cd1-8d98-a2bbc0c2d45b"]},{"id":"ITEM-3","itemData":{"DOI":"10.1111/1755-0998.13044","ISSN":"1755-098X","author":[{"dropping-particle":"","family":"Duruz","given":"Solange","non-dropping-particle":"","parse-names":false,"suffix":""},{"dropping-particle":"","family":"Sevane","given":"Natalia","non-dropping-particle":"","parse-names":false,"suffix":""},{"dropping-particle":"","family":"Selmoni","given":"Oliver","non-dropping-particle":"","parse-names":false,"suffix":""},{"dropping-particle":"","family":"Vajana","given":"Elia","non-dropping-particle":"","parse-names":false,"suffix":""},{"dropping-particle":"","family":"Leempoel","given":"Kevin","non-dropping-particle":"","parse-names":false,"suffix":""},{"dropping-particle":"","family":"Stucki","given":"Sylvie","non-dropping-particle":"","parse-names":false,"suffix":""},{"dropping-particle":"","family":"Orozco‐terWengel","given":"Pablo","non-dropping-particle":"","parse-names":false,"suffix":""},{"dropping-particle":"","family":"Rochat","given":"Estelle","non-dropping-particle":"","parse-names":false,"suffix":""},{"dropping-particle":"","family":"Dunner","given":"Susana","non-dropping-particle":"","parse-names":false,"suffix":""},{"dropping-particle":"","family":"Bruford","given":"Michael W.","non-dropping-particle":"","parse-names":false,"suffix":""},{"dropping-particle":"","family":"Joost","given":"Stéphane","non-dropping-particle":"","parse-names":false,"suffix":""}],"container-title":"Molecular Ecology Resources","id":"ITEM-3","issue":"March","issued":{"date-parts":[["2019"]]},"page":"1755-0998.13044","title":"Rapid identification and interpretation of gene‐environment associations using the new R.SamBada landscape genomics pipeline","type":"article-journal"},"uris":["http://www.mendeley.com/documents/?uuid=27f2557a-c097-4727-a505-74ace014b014"]}],"mendeley":{"formattedCitation":"(Frichot &amp; François, 2015; Luu, Bazin, &amp; Blum, 2017; Duruz et al., 2019)","plainTextFormattedCitation":"(Frichot &amp; François, 2015; Luu, Bazin, &amp; Blum, 2017; Duruz et al., 2019)","previouslyFormattedCitation":"(Frichot &amp; François, 2015; Luu, Bazin, &amp; Blum, 2017; Duruz et al., 2019)"},"properties":{"noteIndex":0},"schema":"https://github.com/citation-style-language/schema/raw/master/csl-citation.json"}</w:instrText>
      </w:r>
      <w:r w:rsidR="002E334A">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(Frichot &amp; François, 2015; Luu, Bazin, &amp; Blum, 2017; Duruz et al., 2019)</w:t>
      </w:r>
      <w:r w:rsidR="002E334A">
        <w:rPr>
          <w:rFonts w:ascii="Times New Roman" w:eastAsia="Times New Roman" w:hAnsi="Times New Roman" w:cs="Times New Roman"/>
          <w:sz w:val="24"/>
          <w:szCs w:val="24"/>
        </w:rPr>
        <w:fldChar w:fldCharType="end"/>
      </w:r>
      <w:r w:rsidR="002E334A">
        <w:rPr>
          <w:rFonts w:ascii="Times New Roman" w:eastAsia="Times New Roman" w:hAnsi="Times New Roman" w:cs="Times New Roman"/>
          <w:sz w:val="24"/>
          <w:szCs w:val="24"/>
        </w:rPr>
        <w:t xml:space="preserve"> </w:t>
      </w:r>
      <w:r w:rsidRPr="41B2D6B5">
        <w:rPr>
          <w:rFonts w:ascii="Times New Roman" w:eastAsia="Times New Roman" w:hAnsi="Times New Roman" w:cs="Times New Roman"/>
          <w:sz w:val="24"/>
          <w:szCs w:val="24"/>
        </w:rPr>
        <w:t xml:space="preserve">or classify population samples in genetically coherent clusters </w:t>
      </w:r>
      <w:r w:rsidR="00D41FF6">
        <w:rPr>
          <w:rFonts w:ascii="Times New Roman" w:eastAsia="Times New Roman" w:hAnsi="Times New Roman" w:cs="Times New Roman"/>
          <w:sz w:val="24"/>
          <w:szCs w:val="24"/>
        </w:rPr>
        <w:fldChar w:fldCharType="begin" w:fldLock="1"/>
      </w:r>
      <w:r w:rsidR="004A5AFD">
        <w:rPr>
          <w:rFonts w:ascii="Times New Roman" w:eastAsia="Times New Roman" w:hAnsi="Times New Roman" w:cs="Times New Roman"/>
          <w:sz w:val="24"/>
          <w:szCs w:val="24"/>
        </w:rPr>
        <w:instrText>ADDIN CSL_CITATION {"citationItems":[{"id":"ITEM-1","itemData":{"DOI":"10.1186/1471-2156-11-94","ISBN":"1471-2156","ISSN":"1471-2156","PMID":"20950446","abstract":"The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author":[{"dropping-particle":"","family":"Jombart","given":"Thibaut","non-dropping-particle":"","parse-names":false,"suffix":""},{"dropping-particle":"","family":"Devillard","given":"Sébastien","non-dropping-particle":"","parse-names":false,"suffix":""},{"dropping-particle":"","family":"Balloux","given":"François","non-dropping-particle":"","parse-names":false,"suffix":""}],"container-title":"BMC genetics","id":"ITEM-1","issue":"1","issued":{"date-parts":[["2010"]]},"page":"94","publisher":"BioMed Central Ltd","title":"Discriminant analysis of principal components: a new method for the analysis of genetically structured populations.","type":"article-journal","volume":"11"},"uris":["http://www.mendeley.com/documents/?uuid=dc84dbdc-67f3-43a1-a1fb-7ffdfaeb2b9e"]},{"id":"ITEM-2","itemData":{"author":[{"dropping-particle":"","family":"Pritchard","given":"Jonathan K","non-dropping-particle":"","parse-names":false,"suffix":""},{"dropping-particle":"","family":"Stephens","given":"Matthew","non-dropping-particle":"","parse-names":false,"suffix":""},{"dropping-particle":"","family":"Donnelly","given":"Peter","non-dropping-particle":"","parse-names":false,"suffix":""}],"id":"ITEM-2","issued":{"date-parts":[["2000"]]},"title":"Inference of Population Structure Using Multilocus Genotype Data","type":"article-journal"},"uris":["http://www.mendeley.com/documents/?uuid=a2640888-2134-44d6-a1c1-99b0964e1d93"]},{"id":"ITEM-3","itemData":{"DOI":"10.1111/1755-0998.12471","ISBN":"3345652005","ISSN":"17550998","abstract":"© 2016 John Wiley &amp; Sons Ltd.Geography and landscape are important determinants of genetic variation in natural populations, and several ancestry estimation methods have been proposed to investigate population structure using genetic and geographic data simultaneously. Those approaches are often based on computer-intensive stochastic simulations and do not scale with the dimensions of the data sets generated by high-throughput sequencing technologies. There is a growing demand for faster algorithms able to analyse genomewide patterns of population genetic variation in their geographic context. In this study, we present TESS3, a major update of the spatial ancestry estimation program TESS. By combining matrix factorization and spatial statistical methods, TESS3 provides estimates of ancestry coefficients with accuracy comparable to TESS and with run-times much faster than the Bayesian version. In addition, the TESS3 program can be used to perform genome scans for selection, and separate adaptive from nonadaptive genetic variation using ancestral allele frequency differentiation tests. The main features of TESS3 are illustrated using simulated data and analysing genomic data from European lines of the plant species Arabidopsis thaliana.","author":[{"dropping-particle":"","family":"Caye","given":"Kevin","non-dropping-particle":"","parse-names":false,"suffix":""},{"dropping-particle":"","family":"Deist","given":"Timo M.","non-dropping-particle":"","parse-names":false,"suffix":""},{"dropping-particle":"","family":"Martins","given":"Helena","non-dropping-particle":"","parse-names":false,"suffix":""},{"dropping-particle":"","family":"Michel","given":"Olivier","non-dropping-particle":"","parse-names":false,"suffix":""},{"dropping-particle":"","family":"François","given":"Olivier","non-dropping-particle":"","parse-names":false,"suffix":""}],"container-title":"Molecular Ecology Resources","id":"ITEM-3","issue":"2","issued":{"date-parts":[["2016"]]},"page":"540-548","title":"TESS3: Fast inference of spatial population structure and genome scans for selection","type":"article-journal","volume":"16"},"uris":["http://www.mendeley.com/documents/?uuid=6d4ba010-b494-47e9-9796-874790971477"]},{"id":"ITEM-4","itemData":{"DOI":"10.1534/genetics.115.180992","ISBN":"0000000248","ISSN":"19432631","abstract":"A key quantity in the analysis of structured populations is the parameter K, which describes the number of subpopulations that make up the total population. Inference of K ideally proceeds via the model evidence, which is equivalent to the likelihood of the model. However, the evidence in favour of a particular value of K cannot usually be computed exactly, and instead programs such as STRUCTURE make use of heuristic estimators to approximate this quantity. We show - using simulated data sets small enough that the true evidence can be computed exactly - that these heuristics often fail to estimate the true evidence, and that this can lead to incorrect conclusions about K. Our proposed solution is to use thermodynamic integration (TI) to estimate the model evidence. After outlining the TI methodology we demonstrate the effectiveness of this approach using a range of simulated data sets. We find that TI can be used to obtain estimates of the model evidence that are more accurate and precise than those based on heuristics. Furthermore, estimates of K based on these values are found to be more reliable than those based on a suite of model comparison statistics. Finally, we test our solution in a reanalysis of a white-footed mouse data set. The TI methodology is implemented for models both with and without admixture in the software MAVERICK1.0.","author":[{"dropping-particle":"","family":"Verity","given":"Robert","non-dropping-particle":"","parse-names":false,"suffix":""},{"dropping-particle":"","family":"Nichols","given":"Richard A.","non-dropping-particle":"","parse-names":false,"suffix":""}],"container-title":"Genetics","id":"ITEM-4","issue":"4","issued":{"date-parts":[["2016"]]},"number-of-pages":"1827-1835","title":"Estimating the number of subpopulations (K) in structured populations","type":"book","volume":"203"},"uris":["http://www.mendeley.com/documents/?uuid=39ca0acb-640b-4ce1-ac4b-7a4bb24a8c81"]}],"mendeley":{"formattedCitation":"(Pritchard, Stephens, &amp; Donnelly, 2000; Jombart, Devillard, &amp; Balloux, 2010; Caye, Deist, Martins, Michel, &amp; François, 2016; Verity &amp; Nichols, 2016)","plainTextFormattedCitation":"(Pritchard, Stephens, &amp; Donnelly, 2000; Jombart, Devillard, &amp; Balloux, 2010; Caye, Deist, Martins, Michel, &amp; François, 2016; Verity &amp; Nichols, 2016)","previouslyFormattedCitation":"(Pritchard, Stephens, &amp; Donnelly, 2000; Jombart, Devillard, &amp; Balloux, 2010; Caye, Deist, Martins, Michel, &amp; François, 2016; Verity &amp; Nichols, 2016)"},"properties":{"noteIndex":0},"schema":"https://github.com/citation-style-language/schema/raw/master/csl-citation.json"}</w:instrText>
      </w:r>
      <w:r w:rsidR="00D41FF6">
        <w:rPr>
          <w:rFonts w:ascii="Times New Roman" w:eastAsia="Times New Roman" w:hAnsi="Times New Roman" w:cs="Times New Roman"/>
          <w:sz w:val="24"/>
          <w:szCs w:val="24"/>
        </w:rPr>
        <w:fldChar w:fldCharType="separate"/>
      </w:r>
      <w:r w:rsidR="00D41FF6" w:rsidRPr="00D41FF6">
        <w:rPr>
          <w:rFonts w:ascii="Times New Roman" w:eastAsia="Times New Roman" w:hAnsi="Times New Roman" w:cs="Times New Roman"/>
          <w:noProof/>
          <w:sz w:val="24"/>
          <w:szCs w:val="24"/>
        </w:rPr>
        <w:t>(Pritchard, Stephens, &amp; Donnelly, 2000; Jombart, Devillard, &amp; Balloux, 2010; Caye, Deist, Martins, Michel, &amp; François, 2016; Verity &amp; Nichols, 2016)</w:t>
      </w:r>
      <w:r w:rsidR="00D41FF6">
        <w:rPr>
          <w:rFonts w:ascii="Times New Roman" w:eastAsia="Times New Roman" w:hAnsi="Times New Roman" w:cs="Times New Roman"/>
          <w:sz w:val="24"/>
          <w:szCs w:val="24"/>
        </w:rPr>
        <w:fldChar w:fldCharType="end"/>
      </w:r>
      <w:r w:rsidRPr="41B2D6B5">
        <w:rPr>
          <w:rFonts w:ascii="Times New Roman" w:eastAsia="Times New Roman" w:hAnsi="Times New Roman" w:cs="Times New Roman"/>
          <w:sz w:val="24"/>
          <w:szCs w:val="24"/>
        </w:rPr>
        <w:t xml:space="preserve"> is thriving, options offering to test </w:t>
      </w:r>
      <w:r w:rsidRPr="41B2D6B5">
        <w:rPr>
          <w:rFonts w:ascii="Times New Roman" w:eastAsia="Times New Roman" w:hAnsi="Times New Roman" w:cs="Times New Roman"/>
          <w:sz w:val="24"/>
          <w:szCs w:val="24"/>
        </w:rPr>
        <w:lastRenderedPageBreak/>
        <w:t xml:space="preserve">whether a sample </w:t>
      </w:r>
      <w:r w:rsidR="00D41FF6">
        <w:rPr>
          <w:rFonts w:ascii="Times New Roman" w:eastAsia="Times New Roman" w:hAnsi="Times New Roman" w:cs="Times New Roman"/>
          <w:sz w:val="24"/>
          <w:szCs w:val="24"/>
        </w:rPr>
        <w:t>has</w:t>
      </w:r>
      <w:r w:rsidRPr="41B2D6B5">
        <w:rPr>
          <w:rFonts w:ascii="Times New Roman" w:eastAsia="Times New Roman" w:hAnsi="Times New Roman" w:cs="Times New Roman"/>
          <w:sz w:val="24"/>
          <w:szCs w:val="24"/>
        </w:rPr>
        <w:t xml:space="preserve"> truly </w:t>
      </w:r>
      <w:r w:rsidR="00D41FF6">
        <w:rPr>
          <w:rFonts w:ascii="Times New Roman" w:eastAsia="Times New Roman" w:hAnsi="Times New Roman" w:cs="Times New Roman"/>
          <w:sz w:val="24"/>
          <w:szCs w:val="24"/>
        </w:rPr>
        <w:t>changed relative to</w:t>
      </w:r>
      <w:r w:rsidRPr="41B2D6B5">
        <w:rPr>
          <w:rFonts w:ascii="Times New Roman" w:eastAsia="Times New Roman" w:hAnsi="Times New Roman" w:cs="Times New Roman"/>
          <w:sz w:val="24"/>
          <w:szCs w:val="24"/>
        </w:rPr>
        <w:t xml:space="preserve"> others</w:t>
      </w:r>
      <w:r w:rsidR="00D41FF6">
        <w:rPr>
          <w:rFonts w:ascii="Times New Roman" w:eastAsia="Times New Roman" w:hAnsi="Times New Roman" w:cs="Times New Roman"/>
          <w:sz w:val="24"/>
          <w:szCs w:val="24"/>
        </w:rPr>
        <w:t>, are less visible</w:t>
      </w:r>
      <w:r w:rsidRPr="41B2D6B5">
        <w:rPr>
          <w:rFonts w:ascii="Times New Roman" w:eastAsia="Times New Roman" w:hAnsi="Times New Roman" w:cs="Times New Roman"/>
          <w:sz w:val="24"/>
          <w:szCs w:val="24"/>
        </w:rPr>
        <w:t xml:space="preserve">. </w:t>
      </w:r>
      <w:r w:rsidR="009D2511">
        <w:rPr>
          <w:rFonts w:ascii="Times New Roman" w:eastAsia="Times New Roman" w:hAnsi="Times New Roman" w:cs="Times New Roman"/>
          <w:sz w:val="24"/>
          <w:szCs w:val="24"/>
        </w:rPr>
        <w:t xml:space="preserve">Indeed, although one could use </w:t>
      </w:r>
      <w:r w:rsidR="00B77390">
        <w:rPr>
          <w:rFonts w:ascii="Times New Roman" w:eastAsia="Times New Roman" w:hAnsi="Times New Roman" w:cs="Times New Roman"/>
          <w:sz w:val="24"/>
          <w:szCs w:val="24"/>
        </w:rPr>
        <w:t xml:space="preserve">existing clustering methods, </w:t>
      </w:r>
      <w:r w:rsidRPr="41B2D6B5">
        <w:rPr>
          <w:rFonts w:ascii="Times New Roman" w:eastAsia="Times New Roman" w:hAnsi="Times New Roman" w:cs="Times New Roman"/>
          <w:sz w:val="24"/>
          <w:szCs w:val="24"/>
        </w:rPr>
        <w:t>the</w:t>
      </w:r>
      <w:r w:rsidR="00B77390">
        <w:rPr>
          <w:rFonts w:ascii="Times New Roman" w:eastAsia="Times New Roman" w:hAnsi="Times New Roman" w:cs="Times New Roman"/>
          <w:sz w:val="24"/>
          <w:szCs w:val="24"/>
        </w:rPr>
        <w:t>ir</w:t>
      </w:r>
      <w:r w:rsidRPr="41B2D6B5">
        <w:rPr>
          <w:rFonts w:ascii="Times New Roman" w:eastAsia="Times New Roman" w:hAnsi="Times New Roman" w:cs="Times New Roman"/>
          <w:sz w:val="24"/>
          <w:szCs w:val="24"/>
        </w:rPr>
        <w:t xml:space="preserve"> r</w:t>
      </w:r>
      <w:r w:rsidR="00B77390">
        <w:rPr>
          <w:rFonts w:ascii="Times New Roman" w:eastAsia="Times New Roman" w:hAnsi="Times New Roman" w:cs="Times New Roman"/>
          <w:sz w:val="24"/>
          <w:szCs w:val="24"/>
        </w:rPr>
        <w:t>elevance and performance</w:t>
      </w:r>
      <w:r w:rsidRPr="41B2D6B5">
        <w:rPr>
          <w:rFonts w:ascii="Times New Roman" w:eastAsia="Times New Roman" w:hAnsi="Times New Roman" w:cs="Times New Roman"/>
          <w:sz w:val="24"/>
          <w:szCs w:val="24"/>
        </w:rPr>
        <w:t xml:space="preserve"> on temporal datasets, where the objective is to find which population has indeed changed more significantly than others in the landscape, has not </w:t>
      </w:r>
      <w:r w:rsidR="00B77390">
        <w:rPr>
          <w:rFonts w:ascii="Times New Roman" w:eastAsia="Times New Roman" w:hAnsi="Times New Roman" w:cs="Times New Roman"/>
          <w:sz w:val="24"/>
          <w:szCs w:val="24"/>
        </w:rPr>
        <w:t xml:space="preserve">been </w:t>
      </w:r>
      <w:r w:rsidRPr="41B2D6B5">
        <w:rPr>
          <w:rFonts w:ascii="Times New Roman" w:eastAsia="Times New Roman" w:hAnsi="Times New Roman" w:cs="Times New Roman"/>
          <w:sz w:val="24"/>
          <w:szCs w:val="24"/>
        </w:rPr>
        <w:t>evaluated.</w:t>
      </w:r>
    </w:p>
    <w:p w14:paraId="0953AC8A" w14:textId="714CE873" w:rsidR="33780FD1" w:rsidRPr="00C45E48" w:rsidRDefault="00B77390" w:rsidP="41B2D6B5">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A permutation-based statistical</w:t>
      </w:r>
      <w:r w:rsidR="009E2F47">
        <w:rPr>
          <w:rFonts w:ascii="Times New Roman" w:eastAsia="Times New Roman" w:hAnsi="Times New Roman" w:cs="Times New Roman"/>
          <w:sz w:val="24"/>
          <w:szCs w:val="24"/>
        </w:rPr>
        <w:t xml:space="preserve"> inference method</w:t>
      </w:r>
      <w:r w:rsidR="41B2D6B5" w:rsidRPr="41B2D6B5">
        <w:rPr>
          <w:rFonts w:ascii="Times New Roman" w:eastAsia="Times New Roman" w:hAnsi="Times New Roman" w:cs="Times New Roman"/>
          <w:sz w:val="24"/>
          <w:szCs w:val="24"/>
        </w:rPr>
        <w:t xml:space="preserve"> </w:t>
      </w:r>
      <w:r w:rsidR="009E2F47" w:rsidRPr="41B2D6B5">
        <w:rPr>
          <w:rFonts w:ascii="Times New Roman" w:eastAsia="Times New Roman" w:hAnsi="Times New Roman" w:cs="Times New Roman"/>
          <w:sz w:val="24"/>
          <w:szCs w:val="24"/>
        </w:rPr>
        <w:t>for the analysis of spatial-temporal changes in community composition</w:t>
      </w:r>
      <w:r w:rsidR="009E2F47" w:rsidRPr="41B2D6B5">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t>have recently been proposed</w:t>
      </w:r>
      <w:r w:rsidR="009E2F47">
        <w:rPr>
          <w:rFonts w:ascii="Times New Roman" w:eastAsia="Times New Roman" w:hAnsi="Times New Roman" w:cs="Times New Roman"/>
          <w:sz w:val="24"/>
          <w:szCs w:val="24"/>
        </w:rPr>
        <w:t xml:space="preserve"> </w:t>
      </w:r>
      <w:r w:rsidR="009E2F47">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data","type":"article-journal","volume":"281"},"uris":["http://www.mendeley.com/documents/?uuid=19a92f3d-2eed-4ba2-b4bf-12f643c2de27"]},{"id":"ITEM-2","itemData":{"DOI":"10.1111/2041-210X.12438","ISSN":"2041210X","abstract":"Range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communities","type":"article-journal","volume":"6"},"uris":["http://www.mendeley.com/documents/?uuid=60696199-d674-4540-8d63-1aa986990758"]}],"mendeley":{"formattedCitation":"(Legendre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009E2F47">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&amp; Gauthier, 2014; Shimadzu, Dornelas, &amp; Magurran, 2015)</w:t>
      </w:r>
      <w:r w:rsidR="009E2F47">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w:t>
      </w:r>
      <w:r w:rsidR="00FE67DC">
        <w:rPr>
          <w:rFonts w:ascii="Times New Roman" w:eastAsia="Times New Roman" w:hAnsi="Times New Roman" w:cs="Times New Roman"/>
          <w:sz w:val="24"/>
          <w:szCs w:val="24"/>
        </w:rPr>
        <w:t xml:space="preserve">A number of applications of the method on composition data have been made on a range of systems </w:t>
      </w:r>
      <w:r w:rsidR="00FE67DC">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{"citationItems":[{"id":"ITEM-1","itemData":{"DOI":"10.1111/geb.12690","ISSN":"14668238","abstract":"Aim: In response to climate change, species distribution shifts resulting from local extinctions, colonizations and variations in population abundances potentially lead to community-level reorgan-izations. Here, we assess changes over time in stream fish communities, quantify the extent to which these changes are attributable to population declines or increases and identify their main drivers. Location: France. Time period: 1980–2012. Major taxa studied: Stream fish species. Methods: We used abundance-monitoring data to quantify changes in composition and unique-ness for 332 stream fish communities between a cold historical period (1980–1993) and a warm contemporary period (2004–2012). Then, we used a model-averaging procedure to test the impacts of factors related to climate, land use and non-native species density and their interacting effects in shaping community reorganization. Results: We observed biotic homogenization over time in stream fish communities, although some communities experienced differentiation. Changes in composition mainly resulted from population declines and were favoured by an increase in temperature seasonality and in non-native species density. Population declines decreased with fragmentation and changes in non-native species density, whereas population increases were negatively driven by changes in precipitation and posi-tively by fragmentation. Our results provide evidence that environmental changes can interact with other factors (e.g., upstream–downstream, fragmentation intensity) to determine community reorganization. Main conclusions: In the context of global change, fish assemblage reorganizations mainly result from population declines of species. These reorganizations are spatially structured and driven by both climatic and human-related stressors. Here, we emphasize the need to take into account several components of global change, because the interplay between stressors might play a key role in the ongoing biodiversity changes.","author":[{"dropping-particle":"","family":"Kuczynski","given":"Lucie","non-dropping-particle":"","parse-names":false,"suffix":""},{"dropping-particle":"","family":"Legendre","given":"Pierre","non-dropping-particle":"","parse-names":false,"suffix":""},{"dropping-particle":"","family":"Grenouillet","given":"Gaël","non-dropping-particle":"","parse-names":false,"suffix":""}],"container-title":"Global Ecology and Biogeography","id":"ITEM-1","issue":"2","issued":{"date-parts":[["2018"]]},"page":"213-222","title":"Concomitant impacts of climate change, fragmentation and non-native species have led to reorganization of fish communities since the 1980s","type":"article-journal","volume":"27"},"uris":["http://www.mendeley.com/documents/?uuid=2e3807d4-4d68-4687-9a84-fa2eef32550c"]},{"id":"ITEM-2","itemData":{"author":[{"dropping-particle":"","family":"Legendre","given":"Pierre","non-dropping-particle":"","parse-names":false,"suffix":""},{"dropping-particle":"","family":"Salvat","given":"Bernard","non-dropping-particle":"","parse-names":false,"suffix":""}],"container-title":"Proceedings of the Royal Society B: Biological Sciences","id":"ITEM-2","issued":{"date-parts":[["2015"]]},"title":"Thirty-year recovery of mollusc communities after nuclear experimentations on Fangataufa atoll (Tuamotu, French Polynesia)","type":"article-journal","volume":"282"},"uris":["http://www.mendeley.com/documents/?uuid=ed989ca0-0495-4c42-b7e2-4cb809a77f9e"]},{"id":"ITEM-3","itemData":{"DOI":"10.1111/geb.12640","ISSN":"14668238","abstract":"© 2017 John Wiley  &amp;  Sons Ltd Aim: Understanding the magnitude and drivers of freshwater diversity over the last 150 years provides essential insights for developing scenarios of future change. Here, we quantify and identify drivers of spatial and temporal beta diversity in diatom assemblages between historical and modern times. Location: United States of America. Major Taxa Studied: Diatoms. Tim Period: pre-AD 1850 and c. 2007. Methods: Using sedimentary genus-level diatom data from 169 lakes and species-level data for 52 lakes, we computed spatial beta diversity across all lakes and within ecoregions for 2007 and pre-AD 1850 time points. We also computed local contributions to beta diversity (LCBD) and analysed them with respect to environmental variables. Total beta diversity was partitioned into replacement and abundance difference components to identify mechanisms possibly responsible for spatial beta at each time point. Temporal beta diversity indices (TBI) were also computed for each lake by comparing the diatom data of all lakes at the time points. TBIs were decomposed into taxon losses and gains to facilitate interpretation. TBIs and their components were related to contemporary land cover. Results: Temporal beta diversity varied significantly as a function of forest cover, with higher temporal beta in lakes from watersheds with contemporary lower  forest cover. Spatial beta diversity was similar between the historical and 2007 time points. Lakes with substantial local contributions to beta diversity were differentiated by water quality and land cover variables at a local scale, but showed no systematic regional pattern. Main conclusions: Spatial beta diversity of diatoms across the U.S.A. does not appear to have changed between pre-AD 1850 and 2007, suggesting that broad-scale land use and hydrological alteration of the landscape has not homogenized these communities. Temporal beta diversity occurred through genus gains and losses and was significantly related to land cover in watersheds. These analyses, pairing spatial and temporal beta diversity, provide insight into the mechanisms maintaining diatom diversity.","author":[{"dropping-particle":"","family":"Winegardner","given":"Amanda K.","non-dropping-particle":"","parse-names":false,"suffix":""},{"dropping-particle":"","family":"Legendre","given":"Pierre","non-dropping-particle":"","parse-names":false,"suffix":""},{"dropping-particle":"","family":"Beisner","given":"Beatrix E.","non-dropping-particle":"","parse-names":false,"suffix":""},{"dropping-particle":"","family":"Gregory-Eaves","given":"Irene","non-dropping-particle":"","parse-names":false,"suffix":""}],"container-title":"Global Ecology and Biogeography","id":"ITEM-3","issue":"11","issued":{"date-parts":[["2017"]]},"page":"1303-1315","title":"Diatom diversity patterns over the past c. 150 years across the conterminous United States of America: Identifying mechanisms behind beta diversity","type":"article-journal","volume":"26"},"uris":["http://www.mendeley.com/documents/?uuid=792746a0-8822-4d03-ba3e-8eceec6b93bc"]},{"id":"ITEM-4","itemData":{"author":[{"dropping-particle":"","family":"Legendre","given":"Pierre","non-dropping-particle":"","parse-names":false,"suffix":""},{"dropping-particle":"","family":"Condit","given":"Richard","non-dropping-particle":"","parse-names":false,"suffix":""}],"container-title":"Forest Ecosystems","id":"ITEM-4","issue":"7","issued":{"date-parts":[["2019"]]},"publisher":"Forest Ecosystems","title":"Spatial and temporal analysis of beta diversity in the Barro Colorado Island forest dynamics plot, Panama","type":"article-journal","volume":"6"},"uris":["http://www.mendeley.com/documents/?uuid=273ac6bc-9e72-4826-8114-8f78d272b5e6"]}],"mendeley":{"formattedCitation":"(Legendre &amp; Salvat, 2015; Winegardner, Legendre, Beisner, &amp; Gregory-Eaves, 2017; Kuczynski, Legendre, &amp; Grenouillet, 2018; Legendre &amp; Condit, 2019)","plainTextFormattedCitation":"(Legendre &amp; Salvat, 2015; Winegardner, Legendre, Beisner, &amp; Gregory-Eaves, 2017; Kuczynski, Legendre, &amp; Grenouillet, 2018; Legendre &amp; Condit, 2019)","previouslyFormattedCitation":"(Legendre &amp; Salvat, 2015; Winegardner, Legendre, Beisner, &amp; Gregory-Eaves, 2017; Kuczynski, Legendre, &amp; Grenouillet, 2018)"},"properties":{"noteIndex":0},"schema":"https://github.com/citation-style-language/schema/raw/master/csl-citation.json"}</w:instrText>
      </w:r>
      <w:r w:rsidR="00FE67DC">
        <w:rPr>
          <w:rFonts w:ascii="Times New Roman" w:eastAsia="Times New Roman" w:hAnsi="Times New Roman" w:cs="Times New Roman"/>
          <w:sz w:val="24"/>
          <w:szCs w:val="24"/>
        </w:rPr>
        <w:fldChar w:fldCharType="separate"/>
      </w:r>
      <w:r w:rsidR="00FE67DC" w:rsidRPr="00FE67DC">
        <w:rPr>
          <w:rFonts w:ascii="Times New Roman" w:eastAsia="Times New Roman" w:hAnsi="Times New Roman" w:cs="Times New Roman"/>
          <w:noProof/>
          <w:sz w:val="24"/>
          <w:szCs w:val="24"/>
        </w:rPr>
        <w:t>(Legendre &amp; Salvat, 2015; Winegardner, Legendre, Beisner, &amp; Gregory-Eaves, 2017; Kuczynski, Legendre, &amp; Grenouillet, 2018; Legendre &amp; Condit, 2019)</w:t>
      </w:r>
      <w:r w:rsidR="00FE67DC">
        <w:rPr>
          <w:rFonts w:ascii="Times New Roman" w:eastAsia="Times New Roman" w:hAnsi="Times New Roman" w:cs="Times New Roman"/>
          <w:sz w:val="24"/>
          <w:szCs w:val="24"/>
        </w:rPr>
        <w:fldChar w:fldCharType="end"/>
      </w:r>
      <w:r w:rsidR="00FE67DC">
        <w:rPr>
          <w:rFonts w:ascii="Times New Roman" w:eastAsia="Times New Roman" w:hAnsi="Times New Roman" w:cs="Times New Roman"/>
          <w:sz w:val="24"/>
          <w:szCs w:val="24"/>
        </w:rPr>
        <w:t xml:space="preserve"> and its power and type 1 errors have recently been thoroughly</w:t>
      </w:r>
      <w:r w:rsidR="009E2F47">
        <w:rPr>
          <w:rFonts w:ascii="Times New Roman" w:eastAsia="Times New Roman" w:hAnsi="Times New Roman" w:cs="Times New Roman"/>
          <w:sz w:val="24"/>
          <w:szCs w:val="24"/>
        </w:rPr>
        <w:t xml:space="preserve"> </w:t>
      </w:r>
      <w:r w:rsidR="41B2D6B5" w:rsidRPr="41B2D6B5">
        <w:rPr>
          <w:rFonts w:ascii="Times New Roman" w:eastAsia="Times New Roman" w:hAnsi="Times New Roman" w:cs="Times New Roman"/>
          <w:sz w:val="24"/>
          <w:szCs w:val="24"/>
        </w:rPr>
        <w:t>tested</w:t>
      </w:r>
      <w:r w:rsidR="00FE67DC">
        <w:rPr>
          <w:rFonts w:ascii="Times New Roman" w:eastAsia="Times New Roman" w:hAnsi="Times New Roman" w:cs="Times New Roman"/>
          <w:sz w:val="24"/>
          <w:szCs w:val="24"/>
        </w:rPr>
        <w:t xml:space="preserve"> through simulations</w:t>
      </w:r>
      <w:r w:rsidR="41B2D6B5" w:rsidRPr="41B2D6B5">
        <w:rPr>
          <w:rFonts w:ascii="Times New Roman" w:eastAsia="Times New Roman" w:hAnsi="Times New Roman" w:cs="Times New Roman"/>
          <w:sz w:val="24"/>
          <w:szCs w:val="24"/>
        </w:rPr>
        <w:t xml:space="preserve"> </w:t>
      </w:r>
      <w:r w:rsidR="004A5AFD">
        <w:rPr>
          <w:rFonts w:ascii="Times New Roman" w:eastAsia="Times New Roman" w:hAnsi="Times New Roman" w:cs="Times New Roman"/>
          <w:sz w:val="24"/>
          <w:szCs w:val="24"/>
        </w:rPr>
        <w:fldChar w:fldCharType="begin" w:fldLock="1"/>
      </w:r>
      <w:r w:rsidR="00FE67DC">
        <w:rPr>
          <w:rFonts w:ascii="Times New Roman" w:eastAsia="Times New Roman" w:hAnsi="Times New Roman" w:cs="Times New Roman"/>
          <w:sz w:val="24"/>
          <w:szCs w:val="24"/>
        </w:rPr>
        <w:instrText>ADDIN CSL_CITATION {"citationItems":[{"id":"ITEM-1","itemData":{"DOI":"http://adn.biol.umontreal.ca/~numericalecology/Reprints/Legendre_TBI_exceptional_sites_MS.pdf","ISSN":"1083-{351X} ({ELECTRONIC)} 0021-9258 ({LINKING)}","abstract":"Aim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method.","author":[{"dropping-particle":"","family":"Legendre","given":"Pierre","non-dropping-particle":"","parse-names":false,"suffix":""}],"container-title":"Methods in Ecology and Evolution","id":"ITEM-1","issue":"August 2018","issued":{"date-parts":[["2018"]]},"page":"1-33","title":"A temporal beta-diversity index to identify exceptional sites in space-time surveys","type":"article-journal"},"uris":["http://www.mendeley.com/documents/?uuid=e9492317-ceaf-4611-bbe0-e112ac8a1227"]}],"mendeley":{"formattedCitation":"(Legendre, 2018)","plainTextFormattedCitation":"(Legendre, 2018)","previouslyFormattedCitation":"(Legendre, 2018)"},"properties":{"noteIndex":0},"schema":"https://github.com/citation-style-language/schema/raw/master/csl-citation.json"}</w:instrText>
      </w:r>
      <w:r w:rsidR="004A5AFD">
        <w:rPr>
          <w:rFonts w:ascii="Times New Roman" w:eastAsia="Times New Roman" w:hAnsi="Times New Roman" w:cs="Times New Roman"/>
          <w:sz w:val="24"/>
          <w:szCs w:val="24"/>
        </w:rPr>
        <w:fldChar w:fldCharType="separate"/>
      </w:r>
      <w:r w:rsidR="005D31D9" w:rsidRPr="005D31D9">
        <w:rPr>
          <w:rFonts w:ascii="Times New Roman" w:eastAsia="Times New Roman" w:hAnsi="Times New Roman" w:cs="Times New Roman"/>
          <w:noProof/>
          <w:sz w:val="24"/>
          <w:szCs w:val="24"/>
        </w:rPr>
        <w:t>(Legendre, 2018)</w:t>
      </w:r>
      <w:r w:rsidR="004A5AFD">
        <w:rPr>
          <w:rFonts w:ascii="Times New Roman" w:eastAsia="Times New Roman" w:hAnsi="Times New Roman" w:cs="Times New Roman"/>
          <w:sz w:val="24"/>
          <w:szCs w:val="24"/>
        </w:rPr>
        <w:fldChar w:fldCharType="end"/>
      </w:r>
      <w:r w:rsidR="41B2D6B5" w:rsidRPr="41B2D6B5">
        <w:rPr>
          <w:rFonts w:ascii="Times New Roman" w:eastAsia="Times New Roman" w:hAnsi="Times New Roman" w:cs="Times New Roman"/>
          <w:sz w:val="24"/>
          <w:szCs w:val="24"/>
        </w:rPr>
        <w:t xml:space="preserve">. </w:t>
      </w:r>
      <w:r w:rsidR="009D6346">
        <w:rPr>
          <w:rFonts w:ascii="Times New Roman" w:eastAsia="Times New Roman" w:hAnsi="Times New Roman" w:cs="Times New Roman"/>
          <w:sz w:val="24"/>
          <w:szCs w:val="24"/>
        </w:rPr>
        <w:t>Temporal Beta-</w:t>
      </w:r>
      <w:r w:rsidR="41B2D6B5" w:rsidRPr="41B2D6B5">
        <w:rPr>
          <w:rFonts w:ascii="Times New Roman" w:eastAsia="Times New Roman" w:hAnsi="Times New Roman" w:cs="Times New Roman"/>
          <w:sz w:val="24"/>
          <w:szCs w:val="24"/>
        </w:rPr>
        <w:t>diversity Indices (TBI; Legendre 201</w:t>
      </w:r>
      <w:r w:rsidR="009E2F47">
        <w:rPr>
          <w:rFonts w:ascii="Times New Roman" w:eastAsia="Times New Roman" w:hAnsi="Times New Roman" w:cs="Times New Roman"/>
          <w:sz w:val="24"/>
          <w:szCs w:val="24"/>
        </w:rPr>
        <w:t>8</w:t>
      </w:r>
      <w:r w:rsidR="41B2D6B5" w:rsidRPr="41B2D6B5">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were designed to asses w</w:t>
      </w:r>
      <w:r w:rsidR="41B2D6B5" w:rsidRPr="41B2D6B5">
        <w:rPr>
          <w:rFonts w:ascii="Times New Roman" w:eastAsia="Times New Roman" w:hAnsi="Times New Roman" w:cs="Times New Roman"/>
          <w:sz w:val="24"/>
          <w:szCs w:val="24"/>
        </w:rPr>
        <w:t>hether there are sites where the difference in community composition between survey times seems exceptionally large</w:t>
      </w:r>
      <w:r w:rsidR="003155FD">
        <w:rPr>
          <w:rFonts w:ascii="Times New Roman" w:eastAsia="Times New Roman" w:hAnsi="Times New Roman" w:cs="Times New Roman"/>
          <w:sz w:val="24"/>
          <w:szCs w:val="24"/>
        </w:rPr>
        <w:t xml:space="preserve"> and it was suggested that one could use TBI on </w:t>
      </w:r>
      <w:r w:rsidR="00BD2FB2" w:rsidRPr="00BD2FB2">
        <w:rPr>
          <w:rFonts w:ascii="Times New Roman" w:eastAsia="Times New Roman" w:hAnsi="Times New Roman" w:cs="Times New Roman"/>
          <w:sz w:val="24"/>
          <w:szCs w:val="24"/>
        </w:rPr>
        <w:t>gene frequency data</w:t>
      </w:r>
      <w:r w:rsidR="41B2D6B5" w:rsidRPr="41B2D6B5">
        <w:rPr>
          <w:rFonts w:ascii="Times New Roman" w:eastAsia="Times New Roman" w:hAnsi="Times New Roman" w:cs="Times New Roman"/>
          <w:sz w:val="24"/>
          <w:szCs w:val="24"/>
        </w:rPr>
        <w:t xml:space="preserve">. </w:t>
      </w:r>
      <w:r w:rsidR="005D31D9" w:rsidRPr="009D6346">
        <w:rPr>
          <w:rFonts w:ascii="Times New Roman" w:eastAsia="Times New Roman" w:hAnsi="Times New Roman" w:cs="Times New Roman"/>
          <w:sz w:val="24"/>
          <w:szCs w:val="24"/>
        </w:rPr>
        <w:t xml:space="preserve">The method </w:t>
      </w:r>
      <w:r w:rsidR="005D31D9" w:rsidRPr="009D6346">
        <w:rPr>
          <w:rFonts w:ascii="Times New Roman" w:eastAsia="Times New Roman" w:hAnsi="Times New Roman" w:cs="Times New Roman"/>
          <w:sz w:val="24"/>
          <w:szCs w:val="24"/>
        </w:rPr>
        <w:t xml:space="preserve">involves estimating temporal change </w:t>
      </w:r>
      <w:r w:rsidR="005D31D9" w:rsidRPr="009D6346">
        <w:rPr>
          <w:rFonts w:ascii="Times New Roman" w:eastAsia="Times New Roman" w:hAnsi="Times New Roman" w:cs="Times New Roman"/>
          <w:sz w:val="24"/>
          <w:szCs w:val="24"/>
        </w:rPr>
        <w:t xml:space="preserve">in each </w:t>
      </w:r>
      <w:r w:rsidR="009D6346" w:rsidRPr="009D6346">
        <w:rPr>
          <w:rFonts w:ascii="Times New Roman" w:eastAsia="Times New Roman" w:hAnsi="Times New Roman" w:cs="Times New Roman"/>
          <w:sz w:val="24"/>
          <w:szCs w:val="24"/>
        </w:rPr>
        <w:t xml:space="preserve">sampling site between two dates using a </w:t>
      </w:r>
      <w:r w:rsidR="005D31D9" w:rsidRPr="009D6346">
        <w:rPr>
          <w:rFonts w:ascii="Times New Roman" w:eastAsia="Times New Roman" w:hAnsi="Times New Roman" w:cs="Times New Roman"/>
          <w:sz w:val="24"/>
          <w:szCs w:val="24"/>
        </w:rPr>
        <w:t>dissimilarity index</w:t>
      </w:r>
      <w:r w:rsidR="009D6346" w:rsidRPr="009D6346">
        <w:rPr>
          <w:rFonts w:ascii="Times New Roman" w:eastAsia="Times New Roman" w:hAnsi="Times New Roman" w:cs="Times New Roman"/>
          <w:sz w:val="24"/>
          <w:szCs w:val="24"/>
        </w:rPr>
        <w:t>/distance</w:t>
      </w:r>
      <w:r w:rsidR="005D31D9" w:rsidRPr="009D6346">
        <w:rPr>
          <w:rFonts w:ascii="Times New Roman" w:eastAsia="Times New Roman" w:hAnsi="Times New Roman" w:cs="Times New Roman"/>
          <w:sz w:val="24"/>
          <w:szCs w:val="24"/>
        </w:rPr>
        <w:t>, test</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significance </w:t>
      </w:r>
      <w:r w:rsidR="009D6346" w:rsidRPr="009D6346">
        <w:rPr>
          <w:rFonts w:ascii="Times New Roman" w:eastAsia="Times New Roman" w:hAnsi="Times New Roman" w:cs="Times New Roman"/>
          <w:sz w:val="24"/>
          <w:szCs w:val="24"/>
        </w:rPr>
        <w:t>of each</w:t>
      </w:r>
      <w:r w:rsidR="005D31D9" w:rsidRPr="009D6346">
        <w:rPr>
          <w:rFonts w:ascii="Times New Roman" w:eastAsia="Times New Roman" w:hAnsi="Times New Roman" w:cs="Times New Roman"/>
          <w:sz w:val="24"/>
          <w:szCs w:val="24"/>
        </w:rPr>
        <w:t xml:space="preserve"> change</w:t>
      </w:r>
      <w:r w:rsidR="009D6346" w:rsidRPr="009D6346">
        <w:rPr>
          <w:rFonts w:ascii="Times New Roman" w:eastAsia="Times New Roman" w:hAnsi="Times New Roman" w:cs="Times New Roman"/>
          <w:sz w:val="24"/>
          <w:szCs w:val="24"/>
        </w:rPr>
        <w:t xml:space="preserve"> through permutations,</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 xml:space="preserve">and </w:t>
      </w:r>
      <w:r w:rsidR="005D31D9" w:rsidRPr="009D6346">
        <w:rPr>
          <w:rFonts w:ascii="Times New Roman" w:eastAsia="Times New Roman" w:hAnsi="Times New Roman" w:cs="Times New Roman"/>
          <w:sz w:val="24"/>
          <w:szCs w:val="24"/>
        </w:rPr>
        <w:t>partition</w:t>
      </w:r>
      <w:r w:rsidR="009D6346" w:rsidRPr="009D6346">
        <w:rPr>
          <w:rFonts w:ascii="Times New Roman" w:eastAsia="Times New Roman" w:hAnsi="Times New Roman" w:cs="Times New Roman"/>
          <w:sz w:val="24"/>
          <w:szCs w:val="24"/>
        </w:rPr>
        <w:t>ing</w:t>
      </w:r>
      <w:r w:rsidR="005D31D9" w:rsidRPr="009D6346">
        <w:rPr>
          <w:rFonts w:ascii="Times New Roman" w:eastAsia="Times New Roman" w:hAnsi="Times New Roman" w:cs="Times New Roman"/>
          <w:sz w:val="24"/>
          <w:szCs w:val="24"/>
        </w:rPr>
        <w:t xml:space="preserve"> the </w:t>
      </w:r>
      <w:r w:rsidR="009D6346" w:rsidRPr="009D6346">
        <w:rPr>
          <w:rFonts w:ascii="Times New Roman" w:eastAsia="Times New Roman" w:hAnsi="Times New Roman" w:cs="Times New Roman"/>
          <w:sz w:val="24"/>
          <w:szCs w:val="24"/>
        </w:rPr>
        <w:t>change</w:t>
      </w:r>
      <w:r w:rsidR="005D31D9" w:rsidRPr="009D6346">
        <w:rPr>
          <w:rFonts w:ascii="Times New Roman" w:eastAsia="Times New Roman" w:hAnsi="Times New Roman" w:cs="Times New Roman"/>
          <w:sz w:val="24"/>
          <w:szCs w:val="24"/>
        </w:rPr>
        <w:t xml:space="preserve"> </w:t>
      </w:r>
      <w:r w:rsidR="009D6346" w:rsidRPr="009D6346">
        <w:rPr>
          <w:rFonts w:ascii="Times New Roman" w:eastAsia="Times New Roman" w:hAnsi="Times New Roman" w:cs="Times New Roman"/>
          <w:sz w:val="24"/>
          <w:szCs w:val="24"/>
        </w:rPr>
        <w:t>into losses and gains</w:t>
      </w:r>
      <w:r w:rsidR="005D31D9" w:rsidRPr="009D6346">
        <w:rPr>
          <w:rFonts w:ascii="Times New Roman" w:eastAsia="Times New Roman" w:hAnsi="Times New Roman" w:cs="Times New Roman"/>
          <w:sz w:val="24"/>
          <w:szCs w:val="24"/>
        </w:rPr>
        <w:t xml:space="preserve">. </w:t>
      </w:r>
      <w:r w:rsidR="003155FD">
        <w:rPr>
          <w:rFonts w:ascii="Times New Roman" w:eastAsia="Times New Roman" w:hAnsi="Times New Roman" w:cs="Times New Roman"/>
          <w:sz w:val="24"/>
          <w:szCs w:val="24"/>
        </w:rPr>
        <w:t>C</w:t>
      </w:r>
      <w:r w:rsidR="41B2D6B5" w:rsidRPr="41B2D6B5">
        <w:rPr>
          <w:rFonts w:ascii="Times New Roman" w:eastAsia="Times New Roman" w:hAnsi="Times New Roman" w:cs="Times New Roman"/>
          <w:sz w:val="24"/>
          <w:szCs w:val="24"/>
        </w:rPr>
        <w:t xml:space="preserve">omparing genetic data at two different dates separated by a known event may </w:t>
      </w:r>
      <w:r w:rsidR="00C45E48" w:rsidRPr="00C45E48">
        <w:rPr>
          <w:rFonts w:ascii="Times New Roman" w:eastAsia="Times New Roman" w:hAnsi="Times New Roman" w:cs="Times New Roman"/>
          <w:sz w:val="24"/>
          <w:szCs w:val="24"/>
        </w:rPr>
        <w:t>help</w:t>
      </w:r>
      <w:r w:rsidR="009D6346" w:rsidRPr="00C45E48">
        <w:rPr>
          <w:rFonts w:ascii="Times New Roman" w:eastAsia="Times New Roman" w:hAnsi="Times New Roman" w:cs="Times New Roman"/>
          <w:sz w:val="24"/>
          <w:szCs w:val="24"/>
        </w:rPr>
        <w:t xml:space="preserve"> us </w:t>
      </w:r>
      <w:r w:rsidR="00C45E48" w:rsidRPr="00C45E48">
        <w:rPr>
          <w:rFonts w:ascii="Times New Roman" w:eastAsia="Times New Roman" w:hAnsi="Times New Roman" w:cs="Times New Roman"/>
          <w:sz w:val="24"/>
          <w:szCs w:val="24"/>
        </w:rPr>
        <w:t>understand more</w:t>
      </w:r>
      <w:r w:rsidR="009D6346" w:rsidRPr="00C45E48">
        <w:rPr>
          <w:rFonts w:ascii="Times New Roman" w:eastAsia="Times New Roman" w:hAnsi="Times New Roman" w:cs="Times New Roman"/>
          <w:sz w:val="24"/>
          <w:szCs w:val="24"/>
        </w:rPr>
        <w:t xml:space="preserve"> about the </w:t>
      </w:r>
      <w:r w:rsidR="00C45E48" w:rsidRPr="00C45E48">
        <w:rPr>
          <w:rFonts w:ascii="Times New Roman" w:eastAsia="Times New Roman" w:hAnsi="Times New Roman" w:cs="Times New Roman"/>
          <w:sz w:val="24"/>
          <w:szCs w:val="24"/>
        </w:rPr>
        <w:t xml:space="preserve">ecological </w:t>
      </w:r>
      <w:r w:rsidR="009D6346" w:rsidRPr="00C45E48">
        <w:rPr>
          <w:rFonts w:ascii="Times New Roman" w:eastAsia="Times New Roman" w:hAnsi="Times New Roman" w:cs="Times New Roman"/>
          <w:sz w:val="24"/>
          <w:szCs w:val="24"/>
        </w:rPr>
        <w:t xml:space="preserve">processes </w:t>
      </w:r>
      <w:r w:rsidR="00C45E48" w:rsidRPr="00C45E48">
        <w:rPr>
          <w:rFonts w:ascii="Times New Roman" w:eastAsia="Times New Roman" w:hAnsi="Times New Roman" w:cs="Times New Roman"/>
          <w:sz w:val="24"/>
          <w:szCs w:val="24"/>
        </w:rPr>
        <w:t>shaping the</w:t>
      </w:r>
      <w:r w:rsidR="009D6346" w:rsidRPr="00C45E48">
        <w:rPr>
          <w:rFonts w:ascii="Times New Roman" w:eastAsia="Times New Roman" w:hAnsi="Times New Roman" w:cs="Times New Roman"/>
          <w:sz w:val="24"/>
          <w:szCs w:val="24"/>
        </w:rPr>
        <w:t xml:space="preserve"> system, </w:t>
      </w:r>
      <w:r w:rsidR="41B2D6B5" w:rsidRPr="00C45E48">
        <w:rPr>
          <w:rFonts w:ascii="Times New Roman" w:eastAsia="Times New Roman" w:hAnsi="Times New Roman" w:cs="Times New Roman"/>
          <w:sz w:val="24"/>
          <w:szCs w:val="24"/>
        </w:rPr>
        <w:t>indicat</w:t>
      </w:r>
      <w:r w:rsidR="41B2D6B5" w:rsidRPr="41B2D6B5">
        <w:rPr>
          <w:rFonts w:ascii="Times New Roman" w:eastAsia="Times New Roman" w:hAnsi="Times New Roman" w:cs="Times New Roman"/>
          <w:sz w:val="24"/>
          <w:szCs w:val="24"/>
        </w:rPr>
        <w:t xml:space="preserve">e the </w:t>
      </w:r>
      <w:r w:rsidR="00C45E48">
        <w:rPr>
          <w:rFonts w:ascii="Times New Roman" w:eastAsia="Times New Roman" w:hAnsi="Times New Roman" w:cs="Times New Roman"/>
          <w:sz w:val="24"/>
          <w:szCs w:val="24"/>
        </w:rPr>
        <w:t>parts of the landscape</w:t>
      </w:r>
      <w:r w:rsidR="41B2D6B5" w:rsidRPr="41B2D6B5">
        <w:rPr>
          <w:rFonts w:ascii="Times New Roman" w:eastAsia="Times New Roman" w:hAnsi="Times New Roman" w:cs="Times New Roman"/>
          <w:sz w:val="24"/>
          <w:szCs w:val="24"/>
        </w:rPr>
        <w:t xml:space="preserve"> where </w:t>
      </w:r>
      <w:r w:rsidR="00C45E48">
        <w:rPr>
          <w:rFonts w:ascii="Times New Roman" w:eastAsia="Times New Roman" w:hAnsi="Times New Roman" w:cs="Times New Roman"/>
          <w:sz w:val="24"/>
          <w:szCs w:val="24"/>
        </w:rPr>
        <w:t>an</w:t>
      </w:r>
      <w:r w:rsidR="41B2D6B5" w:rsidRPr="41B2D6B5">
        <w:rPr>
          <w:rFonts w:ascii="Times New Roman" w:eastAsia="Times New Roman" w:hAnsi="Times New Roman" w:cs="Times New Roman"/>
          <w:sz w:val="24"/>
          <w:szCs w:val="24"/>
        </w:rPr>
        <w:t xml:space="preserve"> event had</w:t>
      </w:r>
      <w:r w:rsidR="00C45E48">
        <w:rPr>
          <w:rFonts w:ascii="Times New Roman" w:eastAsia="Times New Roman" w:hAnsi="Times New Roman" w:cs="Times New Roman"/>
          <w:sz w:val="24"/>
          <w:szCs w:val="24"/>
        </w:rPr>
        <w:t xml:space="preserve"> the</w:t>
      </w:r>
      <w:r w:rsidR="41B2D6B5" w:rsidRPr="41B2D6B5">
        <w:rPr>
          <w:rFonts w:ascii="Times New Roman" w:eastAsia="Times New Roman" w:hAnsi="Times New Roman" w:cs="Times New Roman"/>
          <w:sz w:val="24"/>
          <w:szCs w:val="24"/>
        </w:rPr>
        <w:t xml:space="preserve"> strong</w:t>
      </w:r>
      <w:r w:rsidR="00C45E48">
        <w:rPr>
          <w:rFonts w:ascii="Times New Roman" w:eastAsia="Times New Roman" w:hAnsi="Times New Roman" w:cs="Times New Roman"/>
          <w:sz w:val="24"/>
          <w:szCs w:val="24"/>
        </w:rPr>
        <w:t>est</w:t>
      </w:r>
      <w:r w:rsidR="41B2D6B5" w:rsidRPr="41B2D6B5">
        <w:rPr>
          <w:rFonts w:ascii="Times New Roman" w:eastAsia="Times New Roman" w:hAnsi="Times New Roman" w:cs="Times New Roman"/>
          <w:sz w:val="24"/>
          <w:szCs w:val="24"/>
        </w:rPr>
        <w:t xml:space="preserve"> effects, or </w:t>
      </w:r>
      <w:r w:rsidR="00C45E48">
        <w:rPr>
          <w:rFonts w:ascii="Times New Roman" w:eastAsia="Times New Roman" w:hAnsi="Times New Roman" w:cs="Times New Roman"/>
          <w:sz w:val="24"/>
          <w:szCs w:val="24"/>
        </w:rPr>
        <w:t xml:space="preserve">highlight which </w:t>
      </w:r>
      <w:r w:rsidR="00C45E48" w:rsidRPr="41B2D6B5">
        <w:rPr>
          <w:rFonts w:ascii="Times New Roman" w:eastAsia="Times New Roman" w:hAnsi="Times New Roman" w:cs="Times New Roman"/>
          <w:sz w:val="24"/>
          <w:szCs w:val="24"/>
        </w:rPr>
        <w:t xml:space="preserve">sites </w:t>
      </w:r>
      <w:r w:rsidR="00C45E48">
        <w:rPr>
          <w:rFonts w:ascii="Times New Roman" w:eastAsia="Times New Roman" w:hAnsi="Times New Roman" w:cs="Times New Roman"/>
          <w:sz w:val="24"/>
          <w:szCs w:val="24"/>
        </w:rPr>
        <w:t>should be investigated</w:t>
      </w:r>
      <w:r w:rsidR="41B2D6B5" w:rsidRPr="41B2D6B5">
        <w:rPr>
          <w:rFonts w:ascii="Times New Roman" w:eastAsia="Times New Roman" w:hAnsi="Times New Roman" w:cs="Times New Roman"/>
          <w:sz w:val="24"/>
          <w:szCs w:val="24"/>
        </w:rPr>
        <w:t xml:space="preserve"> in the absence of an </w:t>
      </w:r>
      <w:r w:rsidR="41B2D6B5" w:rsidRPr="41B2D6B5">
        <w:rPr>
          <w:rFonts w:ascii="Times New Roman" w:eastAsia="Times New Roman" w:hAnsi="Times New Roman" w:cs="Times New Roman"/>
          <w:i/>
          <w:iCs/>
          <w:sz w:val="24"/>
          <w:szCs w:val="24"/>
        </w:rPr>
        <w:t xml:space="preserve">a priori </w:t>
      </w:r>
      <w:r w:rsidR="003155FD">
        <w:rPr>
          <w:rFonts w:ascii="Times New Roman" w:eastAsia="Times New Roman" w:hAnsi="Times New Roman" w:cs="Times New Roman"/>
          <w:iCs/>
          <w:sz w:val="24"/>
          <w:szCs w:val="24"/>
        </w:rPr>
        <w:t xml:space="preserve">known </w:t>
      </w:r>
      <w:r w:rsidR="00C45E48">
        <w:rPr>
          <w:rFonts w:ascii="Times New Roman" w:eastAsia="Times New Roman" w:hAnsi="Times New Roman" w:cs="Times New Roman"/>
          <w:sz w:val="24"/>
          <w:szCs w:val="24"/>
        </w:rPr>
        <w:t>event.</w:t>
      </w:r>
    </w:p>
    <w:p w14:paraId="18663A71" w14:textId="5498E72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Our paper seeks to describe how to find out find out which parts of a landscape have undergone atypical and substantial genetic change</w:t>
      </w:r>
      <w:r w:rsidR="006E60E3">
        <w:rPr>
          <w:rFonts w:ascii="Times New Roman" w:eastAsia="Times New Roman" w:hAnsi="Times New Roman" w:cs="Times New Roman"/>
          <w:sz w:val="24"/>
          <w:szCs w:val="24"/>
        </w:rPr>
        <w:t>, for example</w:t>
      </w:r>
      <w:r w:rsidRPr="41B2D6B5">
        <w:rPr>
          <w:rFonts w:ascii="Times New Roman" w:eastAsia="Times New Roman" w:hAnsi="Times New Roman" w:cs="Times New Roman"/>
          <w:sz w:val="24"/>
          <w:szCs w:val="24"/>
        </w:rPr>
        <w:t xml:space="preserve"> after a </w:t>
      </w:r>
      <w:r w:rsidR="006E60E3">
        <w:rPr>
          <w:rFonts w:ascii="Times New Roman" w:eastAsia="Times New Roman" w:hAnsi="Times New Roman" w:cs="Times New Roman"/>
          <w:sz w:val="24"/>
          <w:szCs w:val="24"/>
        </w:rPr>
        <w:t xml:space="preserve">disturbance event. We simulated </w:t>
      </w:r>
      <w:r w:rsidRPr="41B2D6B5">
        <w:rPr>
          <w:rFonts w:ascii="Times New Roman" w:eastAsia="Times New Roman" w:hAnsi="Times New Roman" w:cs="Times New Roman"/>
          <w:sz w:val="24"/>
          <w:szCs w:val="24"/>
        </w:rPr>
        <w:t xml:space="preserve">scenarios where part of the landscape is affected by non-selective demographic changes mimicking the effects of common disturbance events. We then used TBI to measure changes in </w:t>
      </w:r>
      <w:r w:rsidR="006E60E3">
        <w:rPr>
          <w:rFonts w:ascii="Times New Roman" w:eastAsia="Times New Roman" w:hAnsi="Times New Roman" w:cs="Times New Roman"/>
          <w:sz w:val="24"/>
          <w:szCs w:val="24"/>
        </w:rPr>
        <w:lastRenderedPageBreak/>
        <w:t xml:space="preserve">the gene pool of our </w:t>
      </w:r>
      <w:r w:rsidRPr="41B2D6B5">
        <w:rPr>
          <w:rFonts w:ascii="Times New Roman" w:eastAsia="Times New Roman" w:hAnsi="Times New Roman" w:cs="Times New Roman"/>
          <w:sz w:val="24"/>
          <w:szCs w:val="24"/>
        </w:rPr>
        <w:t>populations</w:t>
      </w:r>
      <w:r w:rsidR="006E60E3">
        <w:rPr>
          <w:rFonts w:ascii="Times New Roman" w:eastAsia="Times New Roman" w:hAnsi="Times New Roman" w:cs="Times New Roman"/>
          <w:sz w:val="24"/>
          <w:szCs w:val="24"/>
        </w:rPr>
        <w:t>,</w:t>
      </w:r>
      <w:r w:rsidRPr="41B2D6B5">
        <w:rPr>
          <w:rFonts w:ascii="Times New Roman" w:eastAsia="Times New Roman" w:hAnsi="Times New Roman" w:cs="Times New Roman"/>
          <w:sz w:val="24"/>
          <w:szCs w:val="24"/>
        </w:rPr>
        <w:t xml:space="preserve"> and </w:t>
      </w:r>
      <w:r w:rsidR="006E60E3">
        <w:rPr>
          <w:rFonts w:ascii="Times New Roman" w:eastAsia="Times New Roman" w:hAnsi="Times New Roman" w:cs="Times New Roman"/>
          <w:sz w:val="24"/>
          <w:szCs w:val="24"/>
        </w:rPr>
        <w:t>evaluated the power and error rates associated with this approach. Finally, we illustrated the possibilities of this approach through applications on two real genetic datasets.</w:t>
      </w:r>
    </w:p>
    <w:p w14:paraId="77AFBEB3" w14:textId="7789FF6A" w:rsidR="33780FD1" w:rsidRDefault="33780FD1" w:rsidP="41B2D6B5">
      <w:pPr>
        <w:spacing w:after="240" w:line="480" w:lineRule="auto"/>
        <w:rPr>
          <w:rFonts w:ascii="Times New Roman" w:eastAsia="Times New Roman" w:hAnsi="Times New Roman" w:cs="Times New Roman"/>
          <w:sz w:val="24"/>
          <w:szCs w:val="24"/>
        </w:rPr>
      </w:pPr>
    </w:p>
    <w:p w14:paraId="2CD4A92F" w14:textId="7969DB3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METHODS</w:t>
      </w:r>
    </w:p>
    <w:p w14:paraId="0D7BD3B0" w14:textId="0668C37B" w:rsidR="41B2D6B5" w:rsidRDefault="41B2D6B5" w:rsidP="41B2D6B5">
      <w:pPr>
        <w:spacing w:after="240" w:line="480" w:lineRule="auto"/>
        <w:rPr>
          <w:rFonts w:ascii="Times New Roman" w:eastAsia="Times New Roman" w:hAnsi="Times New Roman" w:cs="Times New Roman"/>
          <w:i/>
          <w:iCs/>
          <w:sz w:val="24"/>
          <w:szCs w:val="24"/>
        </w:rPr>
      </w:pPr>
      <w:bookmarkStart w:id="0" w:name="_GoBack"/>
      <w:bookmarkEnd w:id="0"/>
      <w:r w:rsidRPr="41B2D6B5">
        <w:rPr>
          <w:rFonts w:ascii="Times New Roman" w:eastAsia="Times New Roman" w:hAnsi="Times New Roman" w:cs="Times New Roman"/>
          <w:i/>
          <w:iCs/>
          <w:sz w:val="24"/>
          <w:szCs w:val="24"/>
        </w:rPr>
        <w:t>Simulation experiments</w:t>
      </w:r>
    </w:p>
    <w:p w14:paraId="3E2EB72C" w14:textId="440F01DB" w:rsidR="41B2D6B5" w:rsidRPr="00C52C6B"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u w:val="single"/>
          <w:lang w:val="en-CA"/>
        </w:rPr>
        <w:t>a) Simulation parameters</w:t>
      </w:r>
    </w:p>
    <w:p w14:paraId="13760C25" w14:textId="55F33ED4" w:rsidR="41B2D6B5" w:rsidRDefault="41B2D6B5" w:rsidP="41B2D6B5">
      <w:pPr>
        <w:spacing w:after="240" w:line="480" w:lineRule="auto"/>
        <w:rPr>
          <w:rFonts w:ascii="Times New Roman" w:eastAsia="Times New Roman" w:hAnsi="Times New Roman" w:cs="Times New Roman"/>
          <w:sz w:val="24"/>
          <w:szCs w:val="24"/>
          <w:lang w:val="en-CA"/>
        </w:rPr>
      </w:pPr>
      <w:r w:rsidRPr="41B2D6B5">
        <w:rPr>
          <w:rFonts w:ascii="Times New Roman" w:eastAsia="Times New Roman" w:hAnsi="Times New Roman" w:cs="Times New Roman"/>
          <w:sz w:val="24"/>
          <w:szCs w:val="24"/>
          <w:lang w:val="en-CA"/>
        </w:rPr>
        <w:t>We modeled the effects of disturbance on the genetic diversity using the</w:t>
      </w:r>
      <w:r w:rsidRPr="41B2D6B5">
        <w:rPr>
          <w:rFonts w:ascii="Times New Roman" w:eastAsia="Times New Roman" w:hAnsi="Times New Roman" w:cs="Times New Roman"/>
          <w:sz w:val="24"/>
          <w:szCs w:val="24"/>
        </w:rPr>
        <w:t xml:space="preserve"> spatially-explicit gene flow simulation</w:t>
      </w:r>
      <w:r w:rsidRPr="41B2D6B5">
        <w:rPr>
          <w:rFonts w:ascii="Times New Roman" w:eastAsia="Times New Roman" w:hAnsi="Times New Roman" w:cs="Times New Roman"/>
          <w:sz w:val="24"/>
          <w:szCs w:val="24"/>
          <w:lang w:val="en-CA"/>
        </w:rPr>
        <w:t xml:space="preserve"> software </w:t>
      </w:r>
      <w:proofErr w:type="spellStart"/>
      <w:r w:rsidRPr="41B2D6B5">
        <w:rPr>
          <w:rFonts w:ascii="Times New Roman" w:eastAsia="Times New Roman" w:hAnsi="Times New Roman" w:cs="Times New Roman"/>
          <w:sz w:val="24"/>
          <w:szCs w:val="24"/>
          <w:lang w:val="en-CA"/>
        </w:rPr>
        <w:t>CDMetaPOP</w:t>
      </w:r>
      <w:proofErr w:type="spellEnd"/>
      <w:r w:rsidRPr="41B2D6B5">
        <w:rPr>
          <w:rFonts w:ascii="Times New Roman" w:eastAsia="Times New Roman" w:hAnsi="Times New Roman" w:cs="Times New Roman"/>
          <w:sz w:val="24"/>
          <w:szCs w:val="24"/>
          <w:lang w:val="en-CA"/>
        </w:rPr>
        <w:t xml:space="preserve"> (</w:t>
      </w:r>
      <w:proofErr w:type="spellStart"/>
      <w:r w:rsidRPr="41B2D6B5">
        <w:rPr>
          <w:rFonts w:ascii="Times New Roman" w:eastAsia="Times New Roman" w:hAnsi="Times New Roman" w:cs="Times New Roman"/>
          <w:sz w:val="24"/>
          <w:szCs w:val="24"/>
          <w:lang w:val="en-CA"/>
        </w:rPr>
        <w:t>Landguth</w:t>
      </w:r>
      <w:proofErr w:type="spellEnd"/>
      <w:r w:rsidRPr="41B2D6B5">
        <w:rPr>
          <w:rFonts w:ascii="Times New Roman" w:eastAsia="Times New Roman" w:hAnsi="Times New Roman" w:cs="Times New Roman"/>
          <w:sz w:val="24"/>
          <w:szCs w:val="24"/>
          <w:lang w:val="en-CA"/>
        </w:rPr>
        <w:t xml:space="preserve"> et al. 2017). </w:t>
      </w:r>
      <w:proofErr w:type="spellStart"/>
      <w:r w:rsidRPr="41B2D6B5">
        <w:rPr>
          <w:rFonts w:ascii="Times New Roman" w:eastAsia="Times New Roman" w:hAnsi="Times New Roman" w:cs="Times New Roman"/>
          <w:sz w:val="24"/>
          <w:szCs w:val="24"/>
          <w:lang w:val="en-GB"/>
        </w:rPr>
        <w:t>CDMetaPOP</w:t>
      </w:r>
      <w:proofErr w:type="spellEnd"/>
      <w:r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r w:rsidRPr="41B2D6B5">
        <w:rPr>
          <w:rFonts w:ascii="Times New Roman" w:eastAsia="Times New Roman" w:hAnsi="Times New Roman" w:cs="Times New Roman"/>
          <w:sz w:val="24"/>
          <w:szCs w:val="24"/>
          <w:lang w:val="en-CA"/>
        </w:rPr>
        <w:t>For each scenario we simulated 1000 replicates, with 25 interconnected populations, 100 bi-allelic loci and maximum carrying capacity of 100 individuals per population. X% (5 vs 50 atm) of individuals within a population may migrate at each generation. 220 generations. Dispersal kernel equation.</w:t>
      </w:r>
    </w:p>
    <w:p w14:paraId="39814629" w14:textId="2852F2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Simulation scenarios</w:t>
      </w:r>
    </w:p>
    <w:p w14:paraId="68DD8AA1" w14:textId="79F7C18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first scenario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This population was simulated during the same number of generations and the cost distance between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(central)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is set to 0 between the </w:t>
      </w:r>
      <w:r w:rsidRPr="41B2D6B5">
        <w:rPr>
          <w:rFonts w:ascii="Times New Roman" w:eastAsia="Times New Roman" w:hAnsi="Times New Roman" w:cs="Times New Roman"/>
          <w:sz w:val="24"/>
          <w:szCs w:val="24"/>
          <w:lang w:val="en-GB"/>
        </w:rPr>
        <w:lastRenderedPageBreak/>
        <w:t>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is then isolated again by resetting the cost distance to an unreachable number.</w:t>
      </w:r>
    </w:p>
    <w:p w14:paraId="585B7FE0" w14:textId="4512861B" w:rsidR="41B2D6B5" w:rsidRDefault="41B2D6B5" w:rsidP="41B2D6B5">
      <w:pPr>
        <w:spacing w:after="240" w:line="480" w:lineRule="auto"/>
        <w:rPr>
          <w:rFonts w:ascii="Times New Roman" w:eastAsia="Times New Roman" w:hAnsi="Times New Roman" w:cs="Times New Roman"/>
          <w:sz w:val="24"/>
          <w:szCs w:val="24"/>
          <w:lang w:val="en-GB"/>
        </w:rPr>
      </w:pPr>
    </w:p>
    <w:p w14:paraId="4C9BEE7E" w14:textId="461186EE"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second scenario involves modelling a demographic bottleneck through massive mortality. To do that, the carrying capacity of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(central),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0563041C" w14:textId="34D79C8B" w:rsidR="41B2D6B5" w:rsidRDefault="41B2D6B5" w:rsidP="41B2D6B5">
      <w:pPr>
        <w:spacing w:after="240" w:line="480" w:lineRule="auto"/>
        <w:rPr>
          <w:rFonts w:ascii="Times New Roman" w:eastAsia="Times New Roman" w:hAnsi="Times New Roman" w:cs="Times New Roman"/>
          <w:sz w:val="24"/>
          <w:szCs w:val="24"/>
          <w:u w:val="single"/>
          <w:lang w:val="en-GB"/>
        </w:rPr>
      </w:pPr>
    </w:p>
    <w:p w14:paraId="1BD8BCBA" w14:textId="64981AD2"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Massive extraneous migration/Bottleneck</w:t>
      </w:r>
    </w:p>
    <w:p w14:paraId="7C03F8EE" w14:textId="28C4E7F5" w:rsidR="41B2D6B5" w:rsidRDefault="41B2D6B5" w:rsidP="41B2D6B5">
      <w:pPr>
        <w:spacing w:after="240" w:line="480" w:lineRule="auto"/>
        <w:rPr>
          <w:rFonts w:ascii="Times New Roman" w:eastAsia="Times New Roman" w:hAnsi="Times New Roman" w:cs="Times New Roman"/>
          <w:sz w:val="24"/>
          <w:szCs w:val="24"/>
          <w:lang w:val="en-GB"/>
        </w:rPr>
      </w:pPr>
    </w:p>
    <w:p w14:paraId="4BFC9C64" w14:textId="14023C5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(Cavalli-Sforza &amp; Edwards 1967; Balkenhol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Kalinowski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291232A6"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 xml:space="preserve">Estimating </w:t>
      </w:r>
      <w:proofErr w:type="gramStart"/>
      <w:r w:rsidRPr="41B2D6B5">
        <w:rPr>
          <w:rFonts w:ascii="Times New Roman" w:eastAsia="Times New Roman" w:hAnsi="Times New Roman" w:cs="Times New Roman"/>
          <w:i/>
          <w:iCs/>
          <w:sz w:val="24"/>
          <w:szCs w:val="24"/>
          <w:lang w:val="en-GB"/>
        </w:rPr>
        <w:t>type</w:t>
      </w:r>
      <w:proofErr w:type="gramEnd"/>
      <w:r w:rsidRPr="41B2D6B5">
        <w:rPr>
          <w:rFonts w:ascii="Times New Roman" w:eastAsia="Times New Roman" w:hAnsi="Times New Roman" w:cs="Times New Roman"/>
          <w:i/>
          <w:iCs/>
          <w:sz w:val="24"/>
          <w:szCs w:val="24"/>
          <w:lang w:val="en-GB"/>
        </w:rPr>
        <w:t xml:space="preserve"> I and type II errors</w:t>
      </w:r>
    </w:p>
    <w:p w14:paraId="556D8B55" w14:textId="4F07FC8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565A78FB" w14:textId="0A96CC85" w:rsidR="41B2D6B5" w:rsidRDefault="41B2D6B5" w:rsidP="41B2D6B5">
      <w:pPr>
        <w:spacing w:after="240" w:line="480" w:lineRule="auto"/>
        <w:rPr>
          <w:rFonts w:ascii="Times New Roman" w:eastAsia="Times New Roman" w:hAnsi="Times New Roman" w:cs="Times New Roman"/>
          <w:sz w:val="24"/>
          <w:szCs w:val="24"/>
          <w:lang w:val="en-GB"/>
        </w:rPr>
      </w:pPr>
    </w:p>
    <w:p w14:paraId="13F22C45" w14:textId="7B053F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Two-step criterion</w:t>
      </w:r>
    </w:p>
    <w:p w14:paraId="5DC2A5B8" w14:textId="57C798CF" w:rsidR="41B2D6B5" w:rsidRDefault="41B2D6B5" w:rsidP="41B2D6B5">
      <w:pPr>
        <w:spacing w:after="240" w:line="480" w:lineRule="auto"/>
        <w:rPr>
          <w:rFonts w:ascii="Times New Roman" w:eastAsia="Times New Roman" w:hAnsi="Times New Roman" w:cs="Times New Roman"/>
          <w:sz w:val="24"/>
          <w:szCs w:val="24"/>
          <w:lang w:val="en-GB"/>
        </w:rPr>
      </w:pPr>
    </w:p>
    <w:p w14:paraId="0C8369F1" w14:textId="1A9290B6" w:rsidR="41B2D6B5" w:rsidRDefault="41B2D6B5" w:rsidP="41B2D6B5">
      <w:pPr>
        <w:spacing w:after="240" w:line="480" w:lineRule="auto"/>
        <w:rPr>
          <w:rFonts w:ascii="Times New Roman" w:eastAsia="Times New Roman" w:hAnsi="Times New Roman" w:cs="Times New Roman"/>
          <w:sz w:val="24"/>
          <w:szCs w:val="24"/>
          <w:lang w:val="en-GB"/>
        </w:rPr>
      </w:pPr>
    </w:p>
    <w:p w14:paraId="56ECB37E" w14:textId="7AAA04FE"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RESULTS</w:t>
      </w:r>
    </w:p>
    <w:p w14:paraId="6F533645" w14:textId="77ED6C8E" w:rsidR="41B2D6B5" w:rsidRDefault="41B2D6B5" w:rsidP="41B2D6B5">
      <w:pPr>
        <w:spacing w:after="240" w:line="480" w:lineRule="auto"/>
        <w:rPr>
          <w:rFonts w:ascii="Times New Roman" w:eastAsia="Times New Roman" w:hAnsi="Times New Roman" w:cs="Times New Roman"/>
          <w:sz w:val="24"/>
          <w:szCs w:val="24"/>
        </w:rPr>
      </w:pPr>
    </w:p>
    <w:p w14:paraId="0CC0DCC5" w14:textId="593017DF"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DISCUSSION</w:t>
      </w:r>
    </w:p>
    <w:p w14:paraId="5270AA3C" w14:textId="30F28534"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A few systems are consistently monitored through time (e.g. REFs LTER...) and/or exhaustively sampled in space (e.g. REFs </w:t>
      </w:r>
      <w:proofErr w:type="spellStart"/>
      <w:r w:rsidRPr="41B2D6B5">
        <w:rPr>
          <w:rFonts w:ascii="Times New Roman" w:eastAsia="Times New Roman" w:hAnsi="Times New Roman" w:cs="Times New Roman"/>
          <w:sz w:val="24"/>
          <w:szCs w:val="24"/>
        </w:rPr>
        <w:t>Fushan</w:t>
      </w:r>
      <w:proofErr w:type="spellEnd"/>
      <w:r w:rsidRPr="41B2D6B5">
        <w:rPr>
          <w:rFonts w:ascii="Times New Roman" w:eastAsia="Times New Roman" w:hAnsi="Times New Roman" w:cs="Times New Roman"/>
          <w:sz w:val="24"/>
          <w:szCs w:val="24"/>
        </w:rPr>
        <w:t>...).</w:t>
      </w:r>
    </w:p>
    <w:p w14:paraId="29783827" w14:textId="3344C947" w:rsidR="41B2D6B5" w:rsidRDefault="41B2D6B5" w:rsidP="41B2D6B5">
      <w:pPr>
        <w:spacing w:after="240" w:line="480" w:lineRule="auto"/>
        <w:rPr>
          <w:rFonts w:ascii="Times New Roman" w:eastAsia="Times New Roman" w:hAnsi="Times New Roman" w:cs="Times New Roman"/>
          <w:sz w:val="24"/>
          <w:szCs w:val="24"/>
        </w:rPr>
      </w:pPr>
      <w:r>
        <w:br/>
      </w:r>
      <w:r w:rsidRPr="41B2D6B5">
        <w:rPr>
          <w:rFonts w:ascii="Times New Roman" w:eastAsia="Times New Roman" w:hAnsi="Times New Roman" w:cs="Times New Roman"/>
          <w:sz w:val="24"/>
          <w:szCs w:val="24"/>
        </w:rPr>
        <w:t>REFERENCES</w:t>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rAUA2NL85ywAAAA="/>
  </w:docVars>
  <w:rsids>
    <w:rsidRoot w:val="1F7300AD"/>
    <w:rsid w:val="00006139"/>
    <w:rsid w:val="00042F44"/>
    <w:rsid w:val="00050A75"/>
    <w:rsid w:val="000725EB"/>
    <w:rsid w:val="000905ED"/>
    <w:rsid w:val="000A7C2A"/>
    <w:rsid w:val="000E0725"/>
    <w:rsid w:val="00155566"/>
    <w:rsid w:val="00156869"/>
    <w:rsid w:val="00162224"/>
    <w:rsid w:val="0016565A"/>
    <w:rsid w:val="001C22A3"/>
    <w:rsid w:val="001D11C3"/>
    <w:rsid w:val="002025A1"/>
    <w:rsid w:val="002E06AC"/>
    <w:rsid w:val="002E334A"/>
    <w:rsid w:val="003155FD"/>
    <w:rsid w:val="003C240A"/>
    <w:rsid w:val="004446BB"/>
    <w:rsid w:val="00486776"/>
    <w:rsid w:val="004A5AFD"/>
    <w:rsid w:val="004D5177"/>
    <w:rsid w:val="004E3308"/>
    <w:rsid w:val="00533C15"/>
    <w:rsid w:val="00572658"/>
    <w:rsid w:val="005D31D9"/>
    <w:rsid w:val="005D64D3"/>
    <w:rsid w:val="005E361A"/>
    <w:rsid w:val="005E7082"/>
    <w:rsid w:val="00660675"/>
    <w:rsid w:val="006906EE"/>
    <w:rsid w:val="006B1A1E"/>
    <w:rsid w:val="006B311D"/>
    <w:rsid w:val="006C73EF"/>
    <w:rsid w:val="006E4383"/>
    <w:rsid w:val="006E60E3"/>
    <w:rsid w:val="007163BF"/>
    <w:rsid w:val="00740ADA"/>
    <w:rsid w:val="007759B1"/>
    <w:rsid w:val="00792102"/>
    <w:rsid w:val="0079757B"/>
    <w:rsid w:val="007A2DAB"/>
    <w:rsid w:val="007E01A2"/>
    <w:rsid w:val="007E0A82"/>
    <w:rsid w:val="00890166"/>
    <w:rsid w:val="008E5FC5"/>
    <w:rsid w:val="00925C2D"/>
    <w:rsid w:val="009654F3"/>
    <w:rsid w:val="009D0101"/>
    <w:rsid w:val="009D2511"/>
    <w:rsid w:val="009D29CD"/>
    <w:rsid w:val="009D6346"/>
    <w:rsid w:val="009E2F47"/>
    <w:rsid w:val="00A32C6C"/>
    <w:rsid w:val="00A547BA"/>
    <w:rsid w:val="00A84688"/>
    <w:rsid w:val="00AD6530"/>
    <w:rsid w:val="00B03117"/>
    <w:rsid w:val="00B1288E"/>
    <w:rsid w:val="00B20D6F"/>
    <w:rsid w:val="00B56F27"/>
    <w:rsid w:val="00B77390"/>
    <w:rsid w:val="00BD2FB2"/>
    <w:rsid w:val="00C45E48"/>
    <w:rsid w:val="00C52C6B"/>
    <w:rsid w:val="00D41FF6"/>
    <w:rsid w:val="00D85078"/>
    <w:rsid w:val="00DC232F"/>
    <w:rsid w:val="00DC6940"/>
    <w:rsid w:val="00E1253F"/>
    <w:rsid w:val="00E37BBE"/>
    <w:rsid w:val="00E41C67"/>
    <w:rsid w:val="00E536D6"/>
    <w:rsid w:val="00E94678"/>
    <w:rsid w:val="00EC7BAD"/>
    <w:rsid w:val="00EF25C5"/>
    <w:rsid w:val="00F16D73"/>
    <w:rsid w:val="00F358C6"/>
    <w:rsid w:val="00F43F59"/>
    <w:rsid w:val="00F91FFD"/>
    <w:rsid w:val="00FE67DC"/>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wittisc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40092-9C5D-4118-99F2-74B039B32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13142</TotalTime>
  <Pages>7</Pages>
  <Words>14650</Words>
  <Characters>83510</Characters>
  <Application>Microsoft Office Word</Application>
  <DocSecurity>0</DocSecurity>
  <Lines>695</Lines>
  <Paragraphs>195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53</cp:revision>
  <dcterms:created xsi:type="dcterms:W3CDTF">2019-01-31T18:22:00Z</dcterms:created>
  <dcterms:modified xsi:type="dcterms:W3CDTF">2019-06-27T22:12:00Z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