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252FC0FB" w:rsidR="004E13A5" w:rsidRDefault="00F322CA" w:rsidP="00A51948">
      <w:pPr>
        <w:spacing w:before="240"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749E2F04"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AC1D0A">
        <w:rPr>
          <w:rFonts w:ascii="Times New Roman" w:eastAsia="Times New Roman" w:hAnsi="Times New Roman" w:cs="Times New Roman"/>
          <w:sz w:val="24"/>
          <w:szCs w:val="24"/>
        </w:rPr>
        <w:t>Forestry, J</w:t>
      </w:r>
      <w:r w:rsidRPr="00F322CA">
        <w:rPr>
          <w:rFonts w:ascii="Times New Roman" w:eastAsia="Times New Roman" w:hAnsi="Times New Roman" w:cs="Times New Roman"/>
          <w:sz w:val="24"/>
          <w:szCs w:val="24"/>
        </w:rPr>
        <w:t>ohn H. Daniels Faculty of Architecture, Landscape, and Design</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6">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CED0C18"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4CEBFDB8"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694CB0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E0DA1AE"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5DE0D710" w14:textId="12E4C4EC"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Globally, biodiversity at multiple levels of organization is 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0955D0">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7990575E" w:rsidR="00DD02CB"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Spatial and temporal variation </w:t>
      </w:r>
      <w:r w:rsidR="00B87FEB">
        <w:rPr>
          <w:rFonts w:ascii="Times New Roman" w:eastAsia="Times New Roman" w:hAnsi="Times New Roman" w:cs="Times New Roman"/>
          <w:sz w:val="24"/>
          <w:szCs w:val="24"/>
        </w:rPr>
        <w:t xml:space="preserve">in genetic diversity </w:t>
      </w:r>
      <w:r w:rsidRPr="00295FF4">
        <w:rPr>
          <w:rFonts w:ascii="Times New Roman" w:eastAsia="Times New Roman" w:hAnsi="Times New Roman" w:cs="Times New Roman"/>
          <w:sz w:val="24"/>
          <w:szCs w:val="24"/>
        </w:rPr>
        <w:t>can tell us a great deal about</w:t>
      </w:r>
      <w:r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 xml:space="preserve">have proven essential to translating observed genetic variation into meaningful inferences regarding connectivity and demography that are </w:t>
      </w:r>
      <w:r w:rsidR="0047226E" w:rsidRPr="00295FF4">
        <w:rPr>
          <w:rFonts w:ascii="Times New Roman" w:eastAsia="Times New Roman" w:hAnsi="Times New Roman" w:cs="Times New Roman"/>
          <w:sz w:val="24"/>
          <w:szCs w:val="24"/>
        </w:rPr>
        <w:t>necessary</w:t>
      </w:r>
      <w:r w:rsidR="00E801CA">
        <w:rPr>
          <w:rFonts w:ascii="Times New Roman" w:eastAsia="Times New Roman" w:hAnsi="Times New Roman" w:cs="Times New Roman"/>
          <w:sz w:val="24"/>
          <w:szCs w:val="24"/>
        </w:rPr>
        <w:t xml:space="preserve"> for conservation efforts </w:t>
      </w:r>
      <w:r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E801CA">
        <w:rPr>
          <w:rFonts w:ascii="Times New Roman" w:eastAsia="Times New Roman" w:hAnsi="Times New Roman" w:cs="Times New Roman"/>
          <w:sz w:val="24"/>
          <w:szCs w:val="24"/>
        </w:rPr>
        <w:t>More specifically, 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examines </w:t>
      </w:r>
      <w:r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F424FD">
        <w:rPr>
          <w:rFonts w:ascii="Times New Roman" w:eastAsia="Times New Roman" w:hAnsi="Times New Roman" w:cs="Times New Roman"/>
          <w:sz w:val="24"/>
          <w:szCs w:val="24"/>
        </w:rPr>
        <w:t>The historically spatial focus of landscape genetics, where sampling and/or analysis is done 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F424FD">
        <w:rPr>
          <w:rFonts w:ascii="Times New Roman" w:eastAsia="Times New Roman" w:hAnsi="Times New Roman" w:cs="Times New Roman"/>
          <w:sz w:val="24"/>
          <w:szCs w:val="24"/>
        </w:rPr>
        <w:t>,</w:t>
      </w:r>
      <w:r w:rsidR="000955D0">
        <w:rPr>
          <w:rFonts w:ascii="Times New Roman" w:eastAsia="Times New Roman" w:hAnsi="Times New Roman" w:cs="Times New Roman"/>
          <w:sz w:val="24"/>
          <w:szCs w:val="24"/>
        </w:rPr>
        <w:t xml:space="preserve"> may limit the quality and usefulness of inference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D</w:t>
      </w:r>
      <w:r w:rsidR="008375B6">
        <w:rPr>
          <w:rFonts w:ascii="Times New Roman" w:eastAsia="Times New Roman" w:hAnsi="Times New Roman" w:cs="Times New Roman"/>
          <w:sz w:val="24"/>
          <w:szCs w:val="24"/>
        </w:rPr>
        <w:t xml:space="preserve">emographically dynamic systems, </w:t>
      </w:r>
      <w:r w:rsidR="000955D0">
        <w:rPr>
          <w:rFonts w:ascii="Times New Roman" w:eastAsia="Times New Roman" w:hAnsi="Times New Roman" w:cs="Times New Roman"/>
          <w:sz w:val="24"/>
          <w:szCs w:val="24"/>
        </w:rPr>
        <w:t xml:space="preserve">such as </w:t>
      </w:r>
      <w:r w:rsidR="007466CC" w:rsidRPr="00295FF4">
        <w:rPr>
          <w:rFonts w:ascii="Times New Roman" w:eastAsia="Times New Roman" w:hAnsi="Times New Roman" w:cs="Times New Roman"/>
          <w:sz w:val="24"/>
          <w:szCs w:val="24"/>
        </w:rPr>
        <w:t xml:space="preserve">outbreaks, invasions and species declines </w:t>
      </w:r>
      <w:r w:rsidR="000955D0">
        <w:rPr>
          <w:rFonts w:ascii="Times New Roman" w:eastAsia="Times New Roman" w:hAnsi="Times New Roman" w:cs="Times New Roman"/>
          <w:sz w:val="24"/>
          <w:szCs w:val="24"/>
        </w:rPr>
        <w:t xml:space="preserve">especially </w:t>
      </w:r>
      <w:r w:rsidR="007466CC" w:rsidRPr="00295FF4">
        <w:rPr>
          <w:rFonts w:ascii="Times New Roman" w:eastAsia="Times New Roman" w:hAnsi="Times New Roman" w:cs="Times New Roman"/>
          <w:sz w:val="24"/>
          <w:szCs w:val="24"/>
        </w:rPr>
        <w:t xml:space="preserve">require </w:t>
      </w:r>
      <w:r w:rsidR="008375B6">
        <w:rPr>
          <w:rFonts w:ascii="Times New Roman" w:eastAsia="Times New Roman" w:hAnsi="Times New Roman" w:cs="Times New Roman"/>
          <w:sz w:val="24"/>
          <w:szCs w:val="24"/>
        </w:rPr>
        <w:t>both a spatial and a temporal perspective</w:t>
      </w:r>
      <w:r w:rsidR="007466CC" w:rsidRPr="00295FF4">
        <w:rPr>
          <w:rFonts w:ascii="Times New Roman" w:eastAsia="Times New Roman" w:hAnsi="Times New Roman" w:cs="Times New Roman"/>
          <w:sz w:val="24"/>
          <w:szCs w:val="24"/>
        </w:rPr>
        <w:t xml:space="preserve">. </w:t>
      </w:r>
    </w:p>
    <w:p w14:paraId="11BB61DC" w14:textId="67CC9FDB" w:rsidR="00886D97"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lastRenderedPageBreak/>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t xml:space="preserve">For example, spatio-temporal genetic studies have led to a better understanding of the invasion history of a major diseases vector species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850FB4">
        <w:rPr>
          <w:rFonts w:ascii="Times New Roman" w:eastAsia="Times New Roman" w:hAnsi="Times New Roman" w:cs="Times New Roman"/>
          <w:sz w:val="24"/>
          <w:szCs w:val="24"/>
        </w:rPr>
        <w:t xml:space="preserve"> and to the impacts of </w:t>
      </w:r>
      <w:r w:rsidR="00706123">
        <w:rPr>
          <w:rFonts w:ascii="Times New Roman" w:eastAsia="Times New Roman" w:hAnsi="Times New Roman" w:cs="Times New Roman"/>
          <w:sz w:val="24"/>
          <w:szCs w:val="24"/>
        </w:rPr>
        <w:t xml:space="preserve">landscape </w:t>
      </w:r>
      <w:r w:rsidR="00850FB4">
        <w:rPr>
          <w:rFonts w:ascii="Times New Roman" w:eastAsia="Times New Roman" w:hAnsi="Times New Roman" w:cs="Times New Roman"/>
          <w:sz w:val="24"/>
          <w:szCs w:val="24"/>
        </w:rPr>
        <w:t xml:space="preserve">fragmentation on </w:t>
      </w:r>
      <w:r w:rsidR="00706123">
        <w:rPr>
          <w:rFonts w:ascii="Times New Roman" w:eastAsia="Times New Roman" w:hAnsi="Times New Roman" w:cs="Times New Roman"/>
          <w:sz w:val="24"/>
          <w:szCs w:val="24"/>
        </w:rPr>
        <w:t>a</w:t>
      </w:r>
      <w:r w:rsidR="00850FB4">
        <w:rPr>
          <w:rFonts w:ascii="Times New Roman" w:eastAsia="Times New Roman" w:hAnsi="Times New Roman" w:cs="Times New Roman"/>
          <w:sz w:val="24"/>
          <w:szCs w:val="24"/>
        </w:rPr>
        <w:t xml:space="preserve"> food web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CC1F19" w:rsidRPr="00295FF4">
        <w:rPr>
          <w:rFonts w:ascii="Times New Roman" w:eastAsia="Times New Roman" w:hAnsi="Times New Roman" w:cs="Times New Roman"/>
          <w:sz w:val="24"/>
          <w:szCs w:val="24"/>
        </w:rPr>
        <w:t>.</w:t>
      </w:r>
      <w:r w:rsidR="0020343C" w:rsidRPr="00295FF4">
        <w:rPr>
          <w:rFonts w:ascii="Times New Roman" w:eastAsia="Times New Roman" w:hAnsi="Times New Roman" w:cs="Times New Roman"/>
          <w:sz w:val="24"/>
          <w:szCs w:val="24"/>
        </w:rPr>
        <w:t xml:space="preserve"> </w:t>
      </w:r>
      <w:r w:rsidR="00886D97">
        <w:rPr>
          <w:rFonts w:ascii="Times New Roman" w:eastAsia="Times New Roman" w:hAnsi="Times New Roman" w:cs="Times New Roman"/>
          <w:sz w:val="24"/>
          <w:szCs w:val="24"/>
        </w:rPr>
        <w:t xml:space="preserve">However, assessing change in spatial genetic variation through time </w:t>
      </w:r>
      <w:r w:rsidR="0020343C" w:rsidRPr="00295FF4">
        <w:rPr>
          <w:rFonts w:ascii="Times New Roman" w:eastAsia="Times New Roman" w:hAnsi="Times New Roman" w:cs="Times New Roman"/>
          <w:sz w:val="24"/>
          <w:szCs w:val="24"/>
        </w:rPr>
        <w:t>is challeng</w:t>
      </w:r>
      <w:r w:rsidR="00886D97">
        <w:rPr>
          <w:rFonts w:ascii="Times New Roman" w:eastAsia="Times New Roman" w:hAnsi="Times New Roman" w:cs="Times New Roman"/>
          <w:sz w:val="24"/>
          <w:szCs w:val="24"/>
        </w:rPr>
        <w:t>ing</w:t>
      </w:r>
      <w:r w:rsidR="0020343C" w:rsidRPr="00295FF4">
        <w:rPr>
          <w:rFonts w:ascii="Times New Roman" w:eastAsia="Times New Roman" w:hAnsi="Times New Roman" w:cs="Times New Roman"/>
          <w:sz w:val="24"/>
          <w:szCs w:val="24"/>
        </w:rPr>
        <w:t xml:space="preserve"> because </w:t>
      </w:r>
      <w:r w:rsidR="00886D97">
        <w:rPr>
          <w:rFonts w:ascii="Times New Roman" w:eastAsia="Times New Roman" w:hAnsi="Times New Roman" w:cs="Times New Roman"/>
          <w:sz w:val="24"/>
          <w:szCs w:val="24"/>
        </w:rPr>
        <w:t xml:space="preserve">population </w:t>
      </w:r>
      <w:r w:rsidR="0020343C" w:rsidRPr="00295FF4">
        <w:rPr>
          <w:rFonts w:ascii="Times New Roman" w:eastAsia="Times New Roman" w:hAnsi="Times New Roman" w:cs="Times New Roman"/>
          <w:sz w:val="24"/>
          <w:szCs w:val="24"/>
        </w:rPr>
        <w:t xml:space="preserve">genetic diversity </w:t>
      </w:r>
      <w:r w:rsidR="00AF7CC7">
        <w:rPr>
          <w:rFonts w:ascii="Times New Roman" w:eastAsia="Times New Roman" w:hAnsi="Times New Roman" w:cs="Times New Roman"/>
          <w:sz w:val="24"/>
          <w:szCs w:val="24"/>
        </w:rPr>
        <w:t xml:space="preserve">is under </w:t>
      </w:r>
      <w:r w:rsidR="00886D97">
        <w:rPr>
          <w:rFonts w:ascii="Times New Roman" w:eastAsia="Times New Roman" w:hAnsi="Times New Roman" w:cs="Times New Roman"/>
          <w:sz w:val="24"/>
          <w:szCs w:val="24"/>
        </w:rPr>
        <w:t xml:space="preserve">the combined influences of </w:t>
      </w:r>
      <w:r w:rsidR="0020343C" w:rsidRPr="00295FF4">
        <w:rPr>
          <w:rFonts w:ascii="Times New Roman" w:eastAsia="Times New Roman" w:hAnsi="Times New Roman" w:cs="Times New Roman"/>
          <w:sz w:val="24"/>
          <w:szCs w:val="24"/>
        </w:rPr>
        <w:t>recombination</w:t>
      </w:r>
      <w:r w:rsidR="00886D97">
        <w:rPr>
          <w:rFonts w:ascii="Times New Roman" w:eastAsia="Times New Roman" w:hAnsi="Times New Roman" w:cs="Times New Roman"/>
          <w:sz w:val="24"/>
          <w:szCs w:val="24"/>
        </w:rPr>
        <w:t>,</w:t>
      </w:r>
      <w:r w:rsidR="0020343C" w:rsidRPr="00295FF4">
        <w:rPr>
          <w:rFonts w:ascii="Times New Roman" w:eastAsia="Times New Roman" w:hAnsi="Times New Roman" w:cs="Times New Roman"/>
          <w:sz w:val="24"/>
          <w:szCs w:val="24"/>
        </w:rPr>
        <w:t xml:space="preserve"> mutation</w:t>
      </w:r>
      <w:r w:rsidR="00886D97">
        <w:rPr>
          <w:rFonts w:ascii="Times New Roman" w:eastAsia="Times New Roman" w:hAnsi="Times New Roman" w:cs="Times New Roman"/>
          <w:sz w:val="24"/>
          <w:szCs w:val="24"/>
        </w:rPr>
        <w:t xml:space="preserve">, and </w:t>
      </w:r>
      <w:r w:rsidR="0020343C" w:rsidRPr="00295FF4">
        <w:rPr>
          <w:rFonts w:ascii="Times New Roman" w:eastAsia="Times New Roman" w:hAnsi="Times New Roman" w:cs="Times New Roman"/>
          <w:sz w:val="24"/>
          <w:szCs w:val="24"/>
        </w:rPr>
        <w:t>demographic</w:t>
      </w:r>
      <w:r w:rsidR="00886D97">
        <w:rPr>
          <w:rFonts w:ascii="Times New Roman" w:eastAsia="Times New Roman" w:hAnsi="Times New Roman" w:cs="Times New Roman"/>
          <w:sz w:val="24"/>
          <w:szCs w:val="24"/>
        </w:rPr>
        <w:t xml:space="preserve">ally-induced </w:t>
      </w:r>
      <w:r w:rsidR="0020343C" w:rsidRPr="00295FF4">
        <w:rPr>
          <w:rFonts w:ascii="Times New Roman" w:eastAsia="Times New Roman" w:hAnsi="Times New Roman" w:cs="Times New Roman"/>
          <w:sz w:val="24"/>
          <w:szCs w:val="24"/>
        </w:rPr>
        <w:t xml:space="preserve">genetic drift. </w:t>
      </w:r>
      <w:r w:rsidR="00886D97">
        <w:rPr>
          <w:rFonts w:ascii="Times New Roman" w:eastAsia="Times New Roman" w:hAnsi="Times New Roman" w:cs="Times New Roman"/>
          <w:sz w:val="24"/>
          <w:szCs w:val="24"/>
        </w:rPr>
        <w:t xml:space="preserve">Nonetheless, it remains important to develop the capacity to identify changes in genetic diversity through time, specifically when searching for signals of </w:t>
      </w:r>
      <w:r w:rsidR="001E570D">
        <w:rPr>
          <w:rFonts w:ascii="Times New Roman" w:eastAsia="Times New Roman" w:hAnsi="Times New Roman" w:cs="Times New Roman"/>
          <w:sz w:val="24"/>
          <w:szCs w:val="24"/>
        </w:rPr>
        <w:t>recent demographic</w:t>
      </w:r>
      <w:r w:rsidR="00F73330">
        <w:rPr>
          <w:rFonts w:ascii="Times New Roman" w:eastAsia="Times New Roman" w:hAnsi="Times New Roman" w:cs="Times New Roman"/>
          <w:sz w:val="24"/>
          <w:szCs w:val="24"/>
        </w:rPr>
        <w:t xml:space="preserve"> changes in the context of ongoing worldwide biodiversity loss</w:t>
      </w:r>
      <w:r w:rsidR="00886D97">
        <w:rPr>
          <w:rFonts w:ascii="Times New Roman" w:eastAsia="Times New Roman" w:hAnsi="Times New Roman" w:cs="Times New Roman"/>
          <w:sz w:val="24"/>
          <w:szCs w:val="24"/>
        </w:rPr>
        <w:t>.</w:t>
      </w:r>
    </w:p>
    <w:p w14:paraId="23324154" w14:textId="37F9F9DE" w:rsidR="00CF30F2" w:rsidRPr="00295FF4" w:rsidRDefault="00D42082"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B643B" w:rsidRPr="00295FF4">
        <w:rPr>
          <w:rFonts w:ascii="Times New Roman" w:eastAsia="Times New Roman" w:hAnsi="Times New Roman" w:cs="Times New Roman"/>
          <w:sz w:val="24"/>
          <w:szCs w:val="24"/>
        </w:rPr>
        <w:t>t is</w:t>
      </w:r>
      <w:r w:rsidR="00F73330">
        <w:rPr>
          <w:rFonts w:ascii="Times New Roman" w:eastAsia="Times New Roman" w:hAnsi="Times New Roman" w:cs="Times New Roman"/>
          <w:sz w:val="24"/>
          <w:szCs w:val="24"/>
        </w:rPr>
        <w:t xml:space="preserve"> unfortunately</w:t>
      </w:r>
      <w:r w:rsidR="007B643B" w:rsidRPr="00295FF4">
        <w:rPr>
          <w:rFonts w:ascii="Times New Roman" w:eastAsia="Times New Roman" w:hAnsi="Times New Roman" w:cs="Times New Roman"/>
          <w:sz w:val="24"/>
          <w:szCs w:val="24"/>
        </w:rPr>
        <w:t xml:space="preserve"> rarely possible to directly observe the effects of landscape and climate change on spatial and temporal genetic variation</w:t>
      </w:r>
      <w:r>
        <w:rPr>
          <w:rFonts w:ascii="Times New Roman" w:eastAsia="Times New Roman" w:hAnsi="Times New Roman" w:cs="Times New Roman"/>
          <w:sz w:val="24"/>
          <w:szCs w:val="24"/>
        </w:rPr>
        <w:t xml:space="preserve">. We can, however, </w:t>
      </w:r>
      <w:r w:rsidR="007B643B" w:rsidRPr="00295FF4">
        <w:rPr>
          <w:rFonts w:ascii="Times New Roman" w:eastAsia="Times New Roman" w:hAnsi="Times New Roman" w:cs="Times New Roman"/>
          <w:sz w:val="24"/>
          <w:szCs w:val="24"/>
        </w:rPr>
        <w:t>observe these effects through their population genetic legacies</w:t>
      </w:r>
      <w:r w:rsidR="00F27778">
        <w:rPr>
          <w:rFonts w:ascii="Times New Roman" w:eastAsia="Times New Roman" w:hAnsi="Times New Roman" w:cs="Times New Roman"/>
          <w:sz w:val="24"/>
          <w:szCs w:val="24"/>
        </w:rPr>
        <w:t xml:space="preserve"> </w:t>
      </w:r>
      <w:r w:rsidR="00F27778">
        <w:rPr>
          <w:rFonts w:ascii="Times New Roman" w:eastAsia="Times New Roman" w:hAnsi="Times New Roman" w:cs="Times New Roman"/>
          <w:sz w:val="24"/>
          <w:szCs w:val="24"/>
        </w:rPr>
        <w:fldChar w:fldCharType="begin" w:fldLock="1"/>
      </w:r>
      <w:r w:rsidR="000A5079">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F27778">
        <w:rPr>
          <w:rFonts w:ascii="Times New Roman" w:eastAsia="Times New Roman" w:hAnsi="Times New Roman" w:cs="Times New Roman"/>
          <w:sz w:val="24"/>
          <w:szCs w:val="24"/>
        </w:rPr>
        <w:fldChar w:fldCharType="separate"/>
      </w:r>
      <w:r w:rsidR="00F27778" w:rsidRPr="00F27778">
        <w:rPr>
          <w:rFonts w:ascii="Times New Roman" w:eastAsia="Times New Roman" w:hAnsi="Times New Roman" w:cs="Times New Roman"/>
          <w:noProof/>
          <w:sz w:val="24"/>
          <w:szCs w:val="24"/>
        </w:rPr>
        <w:t>(Banks et al., 2013)</w:t>
      </w:r>
      <w:r w:rsidR="00F27778">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g</w:t>
      </w:r>
      <w:r w:rsidR="007B643B" w:rsidRPr="00295FF4">
        <w:rPr>
          <w:rFonts w:ascii="Times New Roman" w:eastAsia="Times New Roman" w:hAnsi="Times New Roman" w:cs="Times New Roman"/>
          <w:sz w:val="24"/>
          <w:szCs w:val="24"/>
        </w:rPr>
        <w:t>enetic legacies may not be detectable as rapidly as the demographic consequences of change</w:t>
      </w:r>
      <w:r w:rsidR="008410E8">
        <w:rPr>
          <w:rFonts w:ascii="Times New Roman" w:eastAsia="Times New Roman" w:hAnsi="Times New Roman" w:cs="Times New Roman"/>
          <w:sz w:val="24"/>
          <w:szCs w:val="24"/>
        </w:rPr>
        <w:t>,</w:t>
      </w:r>
      <w:r w:rsidR="007B643B" w:rsidRPr="00295FF4">
        <w:rPr>
          <w:rFonts w:ascii="Times New Roman" w:eastAsia="Times New Roman" w:hAnsi="Times New Roman" w:cs="Times New Roman"/>
          <w:sz w:val="24"/>
          <w:szCs w:val="24"/>
        </w:rPr>
        <w:t xml:space="preserve"> they </w:t>
      </w:r>
      <w:r>
        <w:rPr>
          <w:rFonts w:ascii="Times New Roman" w:eastAsia="Times New Roman" w:hAnsi="Times New Roman" w:cs="Times New Roman"/>
          <w:sz w:val="24"/>
          <w:szCs w:val="24"/>
        </w:rPr>
        <w:t xml:space="preserve">can persist </w:t>
      </w:r>
      <w:r w:rsidR="007B643B" w:rsidRPr="00295FF4">
        <w:rPr>
          <w:rFonts w:ascii="Times New Roman" w:eastAsia="Times New Roman" w:hAnsi="Times New Roman" w:cs="Times New Roman"/>
          <w:sz w:val="24"/>
          <w:szCs w:val="24"/>
        </w:rPr>
        <w:t xml:space="preserve">for several generations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(Bolliger, Lander, &amp; Balkenhol, 2014; Epps &amp; Keyghobadi, 2015)</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Researchers commonly use spatio-temporal population genetic legacies to study isolation-by-distance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(Rousset, 1997; Wright, 1943)</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population bottlenecks </w:t>
      </w:r>
      <w:r w:rsidR="007B643B" w:rsidRPr="00295FF4">
        <w:rPr>
          <w:rFonts w:ascii="Times New Roman" w:eastAsia="Times New Roman" w:hAnsi="Times New Roman" w:cs="Times New Roman"/>
          <w:sz w:val="24"/>
          <w:szCs w:val="24"/>
        </w:rPr>
        <w:fldChar w:fldCharType="begin" w:fldLock="1"/>
      </w:r>
      <w:r w:rsidR="00136C7B">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(Gattepaille, Jakobsson, &amp; Blum, 2013; Maruyama &amp; Fuerstt, 1985)</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migration between isolated populations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(Bezemer, Krauss, Roberts, &amp; Hopper, 2019; Buschbom, Yanbaev, &amp; Degen, 2011)</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and outbreak expansions </w:t>
      </w:r>
      <w:r w:rsidR="007B643B" w:rsidRPr="00295FF4">
        <w:rPr>
          <w:rFonts w:ascii="Times New Roman" w:eastAsia="Times New Roman" w:hAnsi="Times New Roman" w:cs="Times New Roman"/>
          <w:sz w:val="24"/>
          <w:szCs w:val="24"/>
        </w:rPr>
        <w:fldChar w:fldCharType="begin" w:fldLock="1"/>
      </w:r>
      <w:r w:rsidR="000955D0">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FC33C1" w:rsidRPr="00FC33C1">
        <w:rPr>
          <w:rFonts w:ascii="Times New Roman" w:eastAsia="Times New Roman" w:hAnsi="Times New Roman" w:cs="Times New Roman"/>
          <w:noProof/>
          <w:sz w:val="24"/>
          <w:szCs w:val="24"/>
        </w:rPr>
        <w:t>(Larroque et al., 2019; Wittische et al., 2019)</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w:t>
      </w:r>
      <w:r w:rsidR="00127CC5" w:rsidRPr="00295FF4">
        <w:rPr>
          <w:rFonts w:ascii="Times New Roman" w:eastAsia="Times New Roman" w:hAnsi="Times New Roman" w:cs="Times New Roman"/>
          <w:sz w:val="24"/>
          <w:szCs w:val="24"/>
        </w:rPr>
        <w:t xml:space="preserve"> </w:t>
      </w:r>
      <w:r w:rsidR="00CF30F2" w:rsidRPr="00295FF4">
        <w:rPr>
          <w:rFonts w:ascii="Times New Roman" w:eastAsia="Times New Roman" w:hAnsi="Times New Roman" w:cs="Times New Roman"/>
          <w:sz w:val="24"/>
          <w:szCs w:val="24"/>
        </w:rPr>
        <w:t xml:space="preserve">Identifying meaningful and statistically significant relationships between temporal landscape-change and the </w:t>
      </w:r>
      <w:r w:rsidR="00B20342" w:rsidRPr="00295FF4">
        <w:rPr>
          <w:rFonts w:ascii="Times New Roman" w:eastAsia="Times New Roman" w:hAnsi="Times New Roman" w:cs="Times New Roman"/>
          <w:sz w:val="24"/>
          <w:szCs w:val="24"/>
        </w:rPr>
        <w:t>spatial apportionment of</w:t>
      </w:r>
      <w:r w:rsidR="00CF30F2" w:rsidRPr="00295FF4">
        <w:rPr>
          <w:rFonts w:ascii="Times New Roman" w:eastAsia="Times New Roman" w:hAnsi="Times New Roman" w:cs="Times New Roman"/>
          <w:sz w:val="24"/>
          <w:szCs w:val="24"/>
        </w:rPr>
        <w:t xml:space="preserve"> genetic </w:t>
      </w:r>
      <w:r w:rsidR="00634B5A" w:rsidRPr="00295FF4">
        <w:rPr>
          <w:rFonts w:ascii="Times New Roman" w:eastAsia="Times New Roman" w:hAnsi="Times New Roman" w:cs="Times New Roman"/>
          <w:sz w:val="24"/>
          <w:szCs w:val="24"/>
        </w:rPr>
        <w:t xml:space="preserve">variation can give us </w:t>
      </w:r>
      <w:r w:rsidR="00634B5A" w:rsidRPr="00295FF4">
        <w:rPr>
          <w:rFonts w:ascii="Times New Roman" w:eastAsia="Times New Roman" w:hAnsi="Times New Roman" w:cs="Times New Roman"/>
          <w:sz w:val="24"/>
          <w:szCs w:val="24"/>
        </w:rPr>
        <w:lastRenderedPageBreak/>
        <w:t>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p>
    <w:p w14:paraId="3A81AE91" w14:textId="65F03EA1" w:rsidR="00FF669A" w:rsidRDefault="009E7BAF"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significant past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whole genome</w:t>
      </w:r>
      <w:r w:rsidR="004A6053">
        <w:rPr>
          <w:rFonts w:ascii="Times New Roman" w:hAnsi="Times New Roman" w:cs="Times New Roman"/>
          <w:sz w:val="24"/>
          <w:szCs w:val="24"/>
        </w:rPr>
        <w:t xml:space="preserve"> or are the result of deep sequencing</w:t>
      </w:r>
      <w:r w:rsidR="005B723C" w:rsidRPr="00295FF4">
        <w:rPr>
          <w:rFonts w:ascii="Times New Roman" w:hAnsi="Times New Roman" w:cs="Times New Roman"/>
          <w:sz w:val="24"/>
          <w:szCs w:val="24"/>
        </w:rPr>
        <w:t>,</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and are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simulation-based frameworks may be used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 xml:space="preserve">erentiation metrics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to evaluate temporal change</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Indeed, </w:t>
      </w:r>
      <w:r w:rsidR="00AF6D3B" w:rsidRPr="00295FF4">
        <w:rPr>
          <w:rFonts w:ascii="Times New Roman" w:eastAsia="Times New Roman" w:hAnsi="Times New Roman" w:cs="Times New Roman"/>
          <w:sz w:val="24"/>
          <w:szCs w:val="24"/>
        </w:rPr>
        <w:t>appropriate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in a temporal context</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 temporal structure or population divergence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lastRenderedPageBreak/>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B51B58" w:rsidRPr="00295FF4">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F02E66">
        <w:rPr>
          <w:rFonts w:ascii="Times New Roman" w:eastAsia="Times New Roman" w:hAnsi="Times New Roman" w:cs="Times New Roman"/>
          <w:sz w:val="24"/>
          <w:szCs w:val="24"/>
        </w:rPr>
        <w:t xml:space="preserve">, but is highly necessary. </w:t>
      </w:r>
    </w:p>
    <w:p w14:paraId="0C586068" w14:textId="4AE496CF" w:rsidR="00F02E66" w:rsidRPr="001C38DB" w:rsidRDefault="00FF669A"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There are many situations where such as detection would prove precious. For example, w</w:t>
      </w:r>
      <w:r w:rsidR="00F02E66">
        <w:rPr>
          <w:rFonts w:ascii="Times New Roman" w:eastAsia="Times New Roman" w:hAnsi="Times New Roman" w:cs="Times New Roman"/>
          <w:sz w:val="24"/>
          <w:szCs w:val="24"/>
        </w:rPr>
        <w:t>e could use such a framework to identify</w:t>
      </w:r>
      <w:r>
        <w:rPr>
          <w:rFonts w:ascii="Times New Roman" w:eastAsia="Times New Roman" w:hAnsi="Times New Roman" w:cs="Times New Roman"/>
          <w:sz w:val="24"/>
          <w:szCs w:val="24"/>
        </w:rPr>
        <w:t xml:space="preserve"> which previously sampled populations have undergone significant genetic changes, after a major weather event could have led to </w:t>
      </w:r>
      <w:r w:rsidR="00CB560E">
        <w:rPr>
          <w:rFonts w:ascii="Times New Roman" w:eastAsia="Times New Roman" w:hAnsi="Times New Roman" w:cs="Times New Roman"/>
          <w:sz w:val="24"/>
          <w:szCs w:val="24"/>
        </w:rPr>
        <w:t xml:space="preserve">higher mortality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A13D2D">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or immigration</w:t>
      </w:r>
      <w:r w:rsidR="00E05108">
        <w:rPr>
          <w:rFonts w:ascii="Times New Roman" w:eastAsia="Times New Roman" w:hAnsi="Times New Roman" w:cs="Times New Roman"/>
          <w:sz w:val="24"/>
          <w:szCs w:val="24"/>
        </w:rPr>
        <w:t xml:space="preserve"> from distantly related populations</w:t>
      </w:r>
      <w:r w:rsidR="00CC5AFB">
        <w:rPr>
          <w:rFonts w:ascii="Times New Roman" w:eastAsia="Times New Roman" w:hAnsi="Times New Roman" w:cs="Times New Roman"/>
          <w:sz w:val="24"/>
          <w:szCs w:val="24"/>
        </w:rPr>
        <w:t xml:space="preserve">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E05108">
        <w:rPr>
          <w:rFonts w:ascii="Times New Roman" w:eastAsia="Times New Roman" w:hAnsi="Times New Roman" w:cs="Times New Roman"/>
          <w:sz w:val="24"/>
          <w:szCs w:val="24"/>
        </w:rPr>
        <w:t>,</w:t>
      </w:r>
      <w:r w:rsidR="00CB560E">
        <w:rPr>
          <w:rFonts w:ascii="Times New Roman" w:eastAsia="Times New Roman" w:hAnsi="Times New Roman" w:cs="Times New Roman"/>
          <w:sz w:val="24"/>
          <w:szCs w:val="24"/>
        </w:rPr>
        <w:t xml:space="preserve"> through </w:t>
      </w:r>
      <w:r w:rsidR="00D2058D">
        <w:rPr>
          <w:rFonts w:ascii="Times New Roman" w:eastAsia="Times New Roman" w:hAnsi="Times New Roman" w:cs="Times New Roman"/>
          <w:sz w:val="24"/>
          <w:szCs w:val="24"/>
        </w:rPr>
        <w:t>long-</w:t>
      </w:r>
      <w:r>
        <w:rPr>
          <w:rFonts w:ascii="Times New Roman" w:eastAsia="Times New Roman" w:hAnsi="Times New Roman" w:cs="Times New Roman"/>
          <w:sz w:val="24"/>
          <w:szCs w:val="24"/>
        </w:rPr>
        <w:t xml:space="preserve">distance dispersal </w:t>
      </w:r>
      <w:r w:rsidR="00F11CC4">
        <w:rPr>
          <w:rFonts w:ascii="Times New Roman" w:eastAsia="Times New Roman" w:hAnsi="Times New Roman" w:cs="Times New Roman"/>
          <w:sz w:val="24"/>
          <w:szCs w:val="24"/>
        </w:rPr>
        <w:t>events</w:t>
      </w:r>
      <w:r>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or a large spawning event</w:t>
      </w:r>
      <w:r w:rsidR="00CB560E">
        <w:rPr>
          <w:rFonts w:ascii="Times New Roman" w:eastAsia="Times New Roman" w:hAnsi="Times New Roman" w:cs="Times New Roman"/>
          <w:sz w:val="24"/>
          <w:szCs w:val="24"/>
        </w:rPr>
        <w:t>, to have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mass migration</w:t>
      </w:r>
      <w:r w:rsidR="00DD02FD">
        <w:rPr>
          <w:rFonts w:ascii="Times New Roman" w:eastAsia="Times New Roman" w:hAnsi="Times New Roman" w:cs="Times New Roman"/>
          <w:sz w:val="24"/>
          <w:szCs w:val="24"/>
        </w:rPr>
        <w:t xml:space="preserve"> </w:t>
      </w:r>
      <w:r w:rsidR="00322EF1">
        <w:rPr>
          <w:rFonts w:ascii="Times New Roman" w:eastAsia="Times New Roman" w:hAnsi="Times New Roman" w:cs="Times New Roman"/>
          <w:sz w:val="24"/>
          <w:szCs w:val="24"/>
        </w:rPr>
        <w:fldChar w:fldCharType="begin" w:fldLock="1"/>
      </w:r>
      <w:r w:rsidR="00CC5AFB">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 Segura-García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 Segura-García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Pr="00FF669A">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 xml:space="preserve">Finally, </w:t>
      </w:r>
      <w:r w:rsidR="004D63F8">
        <w:rPr>
          <w:rFonts w:ascii="Times New Roman" w:eastAsia="Times New Roman" w:hAnsi="Times New Roman" w:cs="Times New Roman"/>
          <w:sz w:val="24"/>
          <w:szCs w:val="24"/>
        </w:rPr>
        <w:t xml:space="preserve">yet </w:t>
      </w:r>
      <w:r w:rsidR="00CB560E">
        <w:rPr>
          <w:rFonts w:ascii="Times New Roman" w:eastAsia="Times New Roman" w:hAnsi="Times New Roman" w:cs="Times New Roman"/>
          <w:sz w:val="24"/>
          <w:szCs w:val="24"/>
        </w:rPr>
        <w:t>another example could be the evaluat</w:t>
      </w:r>
      <w:r w:rsidR="00EE4532">
        <w:rPr>
          <w:rFonts w:ascii="Times New Roman" w:eastAsia="Times New Roman" w:hAnsi="Times New Roman" w:cs="Times New Roman"/>
          <w:sz w:val="24"/>
          <w:szCs w:val="24"/>
        </w:rPr>
        <w:t>ion of how the genetic diversities</w:t>
      </w:r>
      <w:r w:rsidR="00CB560E">
        <w:rPr>
          <w:rFonts w:ascii="Times New Roman" w:eastAsia="Times New Roman" w:hAnsi="Times New Roman" w:cs="Times New Roman"/>
          <w:sz w:val="24"/>
          <w:szCs w:val="24"/>
        </w:rPr>
        <w:t xml:space="preserve"> of </w:t>
      </w:r>
      <w:r w:rsidR="00EE4532">
        <w:rPr>
          <w:rFonts w:ascii="Times New Roman" w:eastAsia="Times New Roman" w:hAnsi="Times New Roman" w:cs="Times New Roman"/>
          <w:sz w:val="24"/>
          <w:szCs w:val="24"/>
        </w:rPr>
        <w:t xml:space="preserve">populations have changed after facing </w:t>
      </w:r>
      <w:r>
        <w:rPr>
          <w:rFonts w:ascii="Times New Roman" w:eastAsia="Times New Roman" w:hAnsi="Times New Roman" w:cs="Times New Roman"/>
          <w:sz w:val="24"/>
          <w:szCs w:val="24"/>
        </w:rPr>
        <w:t xml:space="preserve">intense </w:t>
      </w:r>
      <w:r w:rsidR="00EE4532">
        <w:rPr>
          <w:rFonts w:ascii="Times New Roman" w:eastAsia="Times New Roman" w:hAnsi="Times New Roman" w:cs="Times New Roman"/>
          <w:sz w:val="24"/>
          <w:szCs w:val="24"/>
        </w:rPr>
        <w:t xml:space="preserve">and heterogeneous </w:t>
      </w:r>
      <w:r>
        <w:rPr>
          <w:rFonts w:ascii="Times New Roman" w:eastAsia="Times New Roman" w:hAnsi="Times New Roman" w:cs="Times New Roman"/>
          <w:sz w:val="24"/>
          <w:szCs w:val="24"/>
        </w:rPr>
        <w:t>anthropogenic pressure</w:t>
      </w:r>
      <w:r w:rsidR="00322EF1">
        <w:rPr>
          <w:rFonts w:ascii="Times New Roman" w:eastAsia="Times New Roman" w:hAnsi="Times New Roman" w:cs="Times New Roman"/>
          <w:sz w:val="24"/>
          <w:szCs w:val="24"/>
        </w:rPr>
        <w:t>,</w:t>
      </w:r>
      <w:r w:rsidR="00EE4532">
        <w:rPr>
          <w:rFonts w:ascii="Times New Roman" w:eastAsia="Times New Roman" w:hAnsi="Times New Roman" w:cs="Times New Roman"/>
          <w:sz w:val="24"/>
          <w:szCs w:val="24"/>
        </w:rPr>
        <w:t xml:space="preserve"> such as habitat fragmentation</w:t>
      </w:r>
      <w:r w:rsidR="001C38DB">
        <w:rPr>
          <w:rFonts w:ascii="Times New Roman" w:eastAsia="Times New Roman" w:hAnsi="Times New Roman" w:cs="Times New Roman"/>
          <w:sz w:val="24"/>
          <w:szCs w:val="24"/>
        </w:rPr>
        <w:t xml:space="preserve"> and alteration</w:t>
      </w:r>
      <w:r>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Detecting atypical change in the genetic diversity of populations in all those examples could help with better management, including the prioritization of conservation or mitigation efforts.</w:t>
      </w:r>
    </w:p>
    <w:p w14:paraId="2BC3A1E0" w14:textId="4E289375"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that </w:t>
      </w:r>
      <w:r w:rsidR="00074A90" w:rsidRPr="00295FF4">
        <w:rPr>
          <w:rFonts w:ascii="Times New Roman" w:eastAsia="Times New Roman" w:hAnsi="Times New Roman" w:cs="Times New Roman"/>
          <w:sz w:val="24"/>
          <w:szCs w:val="24"/>
        </w:rPr>
        <w:t xml:space="preserve">of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expect that TBI can be </w:t>
      </w:r>
      <w:r w:rsidR="00D8178E">
        <w:rPr>
          <w:rFonts w:ascii="Times New Roman" w:eastAsia="Times New Roman" w:hAnsi="Times New Roman" w:cs="Times New Roman"/>
          <w:sz w:val="24"/>
          <w:szCs w:val="24"/>
        </w:rPr>
        <w:t xml:space="preserve">applied to spatial-temporal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community </w:t>
      </w:r>
      <w:r w:rsidR="00D01E4D" w:rsidRPr="00295FF4">
        <w:rPr>
          <w:rFonts w:ascii="Times New Roman" w:eastAsia="Times New Roman" w:hAnsi="Times New Roman" w:cs="Times New Roman"/>
          <w:sz w:val="24"/>
          <w:szCs w:val="24"/>
        </w:rPr>
        <w:lastRenderedPageBreak/>
        <w:t xml:space="preserve">composition data </w:t>
      </w:r>
      <w:r w:rsidR="00D01E4D" w:rsidRPr="00295FF4">
        <w:rPr>
          <w:rFonts w:ascii="Times New Roman" w:eastAsia="Times New Roman" w:hAnsi="Times New Roman" w:cs="Times New Roman"/>
          <w:sz w:val="24"/>
          <w:szCs w:val="24"/>
        </w:rPr>
        <w:fldChar w:fldCharType="begin" w:fldLock="1"/>
      </w:r>
      <w:r w:rsidR="00D433EE" w:rsidRPr="00295FF4">
        <w:rPr>
          <w:rFonts w:ascii="Times New Roman" w:eastAsia="Times New Roman" w:hAnsi="Times New Roman" w:cs="Times New Roman"/>
          <w:sz w:val="24"/>
          <w:szCs w:val="24"/>
        </w:rPr>
        <w:instrText>ADDIN CSL_CITATION {"citationItems":[{"id":"ITEM-1","itemData":{"DOI":"10.1002/ece3.4984","author":[{"dropping-particle":"","family":"Legendre","given":"Pierre","non-dropping-particle":"","parse-names":false,"suffix":""}],"container-title":"Ecology and Evolution","id":"ITEM-1","issued":{"date-parts":[["2019"]]},"page":"3500-3514","title":"A temporal beta‐diversity index to identify sites that have changed in exceptional ways in space-time surveys","type":"article-journal","volume":"9"},"uris":["http://www.mendeley.com/documents/?uuid=927aa552-9970-4ab4-833f-c2ccf5c5c7a1"]}],"mendeley":{"formattedCitation":"(Legendre, 2019b)","plainTextFormattedCitation":"(Legendre, 2019b)","previouslyFormattedCitation":"(Legendre, 2019b)"},"properties":{"noteIndex":0},"schema":"https://github.com/citation-style-language/schema/raw/master/csl-citation.json"}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D01E4D" w:rsidRPr="00295FF4">
        <w:rPr>
          <w:rFonts w:ascii="Times New Roman" w:eastAsia="Times New Roman" w:hAnsi="Times New Roman" w:cs="Times New Roman"/>
          <w:noProof/>
          <w:sz w:val="24"/>
          <w:szCs w:val="24"/>
        </w:rPr>
        <w:t>(Legendre, 2019b)</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7641E675"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be applicable to spatial temporal population genetic data. The objective of o</w:t>
      </w:r>
      <w:r w:rsidR="00AE630D">
        <w:rPr>
          <w:rFonts w:ascii="Times New Roman" w:eastAsia="Times New Roman" w:hAnsi="Times New Roman" w:cs="Times New Roman"/>
          <w:sz w:val="24"/>
          <w:szCs w:val="24"/>
        </w:rPr>
        <w:t>ur new method</w:t>
      </w:r>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to provide sensible information to policy-makers and managers</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To demonstrate the effectiveness and applicability of the approach</w:t>
      </w:r>
      <w:r w:rsidR="00033B96">
        <w:rPr>
          <w:rFonts w:ascii="Times New Roman" w:eastAsia="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use</w:t>
      </w:r>
      <w:r w:rsidR="001A5222" w:rsidRPr="00295FF4">
        <w:rPr>
          <w:rFonts w:ascii="Times New Roman" w:eastAsia="Times New Roman" w:hAnsi="Times New Roman" w:cs="Times New Roman"/>
          <w:sz w:val="24"/>
          <w:szCs w:val="24"/>
        </w:rPr>
        <w:t>d</w:t>
      </w:r>
      <w:r w:rsidR="004E13A5"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t xml:space="preserve">a </w:t>
      </w:r>
      <w:r w:rsidR="001A5222" w:rsidRPr="00295FF4">
        <w:rPr>
          <w:rFonts w:ascii="Times New Roman" w:eastAsia="Times New Roman" w:hAnsi="Times New Roman" w:cs="Times New Roman"/>
          <w:sz w:val="24"/>
          <w:szCs w:val="24"/>
        </w:rPr>
        <w:t>spatially-explicit gene flow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6E412E" w:rsidRPr="00295FF4">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 xml:space="preserve">We simulated 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a demographic event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detection of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 xml:space="preserve">Performance was quantified using standard false positive/negative rates binary classification.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predict that the longer the time between samplings,</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w:t>
      </w:r>
      <w:r w:rsidR="00B22380">
        <w:rPr>
          <w:rFonts w:ascii="Times New Roman" w:eastAsia="Times New Roman" w:hAnsi="Times New Roman" w:cs="Times New Roman"/>
          <w:sz w:val="24"/>
          <w:szCs w:val="24"/>
        </w:rPr>
        <w:t>n a demographic event occurred.</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59331A00"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 </w:t>
      </w:r>
      <w:r w:rsidR="002F53A6">
        <w:rPr>
          <w:rFonts w:ascii="Times New Roman" w:eastAsia="Times New Roman" w:hAnsi="Times New Roman" w:cs="Times New Roman"/>
          <w:sz w:val="24"/>
          <w:szCs w:val="24"/>
          <w:lang w:val="en-GB"/>
        </w:rPr>
        <w:t xml:space="preserve">between temporal surveys of the same sites and testing their significance through permutations of the site-species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6368E7">
        <w:rPr>
          <w:rFonts w:ascii="Times New Roman" w:eastAsia="Times New Roman" w:hAnsi="Times New Roman" w:cs="Times New Roman"/>
          <w:sz w:val="24"/>
          <w:szCs w:val="24"/>
          <w:lang w:val="en-GB"/>
        </w:rPr>
        <w:t xml:space="preserve">used genetic distances </w:t>
      </w:r>
      <w:r w:rsidR="00A64B43">
        <w:rPr>
          <w:rFonts w:ascii="Times New Roman" w:eastAsia="Times New Roman" w:hAnsi="Times New Roman" w:cs="Times New Roman"/>
          <w:sz w:val="24"/>
          <w:szCs w:val="24"/>
          <w:lang w:val="en-GB"/>
        </w:rPr>
        <w:t>as dissimilarity</w:t>
      </w:r>
      <w:r w:rsidR="002F53A6">
        <w:rPr>
          <w:rFonts w:ascii="Times New Roman" w:eastAsia="Times New Roman" w:hAnsi="Times New Roman" w:cs="Times New Roman"/>
          <w:sz w:val="24"/>
          <w:szCs w:val="24"/>
          <w:lang w:val="en-GB"/>
        </w:rPr>
        <w:t>,</w:t>
      </w:r>
      <w:r w:rsidR="006368E7">
        <w:rPr>
          <w:rFonts w:ascii="Times New Roman" w:eastAsia="Times New Roman" w:hAnsi="Times New Roman" w:cs="Times New Roman"/>
          <w:sz w:val="24"/>
          <w:szCs w:val="24"/>
          <w:lang w:val="en-GB"/>
        </w:rPr>
        <w:t xml:space="preserve"> and the</w:t>
      </w:r>
      <w:r w:rsidR="002F53A6">
        <w:rPr>
          <w:rFonts w:ascii="Times New Roman" w:eastAsia="Times New Roman" w:hAnsi="Times New Roman" w:cs="Times New Roman"/>
          <w:sz w:val="24"/>
          <w:szCs w:val="24"/>
          <w:lang w:val="en-GB"/>
        </w:rPr>
        <w:t xml:space="preserve"> null hypothesis became that genetic diversity </w:t>
      </w:r>
      <w:r w:rsidR="00A84ED9">
        <w:rPr>
          <w:rFonts w:ascii="Times New Roman" w:eastAsia="Times New Roman" w:hAnsi="Times New Roman" w:cs="Times New Roman"/>
          <w:sz w:val="24"/>
          <w:szCs w:val="24"/>
          <w:lang w:val="en-GB"/>
        </w:rPr>
        <w:t xml:space="preserve">did 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2F53A6">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p>
    <w:p w14:paraId="0E14A362" w14:textId="307D47F3"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One of the most crucial steps in this comparison is to evaluate the significance of the change. Indeed, without a mean to determine adequate significance thresholds for their analyses, decision</w:t>
      </w:r>
      <w:r w:rsidR="00D2058D">
        <w:rPr>
          <w:rFonts w:ascii="Times New Roman" w:eastAsia="Times New Roman" w:hAnsi="Times New Roman" w:cs="Times New Roman"/>
          <w:sz w:val="24"/>
          <w:szCs w:val="24"/>
          <w:lang w:val="en-GB"/>
        </w:rPr>
        <w:t>-</w:t>
      </w:r>
      <w:r w:rsidRPr="00295FF4">
        <w:rPr>
          <w:rFonts w:ascii="Times New Roman" w:eastAsia="Times New Roman" w:hAnsi="Times New Roman" w:cs="Times New Roman"/>
          <w:sz w:val="24"/>
          <w:szCs w:val="24"/>
          <w:lang w:val="en-GB"/>
        </w:rPr>
        <w:t>makers and researchers would be left to arbitrarily set thresholds for what constitute</w:t>
      </w:r>
      <w:r w:rsidR="00D2058D">
        <w:rPr>
          <w:rFonts w:ascii="Times New Roman" w:eastAsia="Times New Roman" w:hAnsi="Times New Roman" w:cs="Times New Roman"/>
          <w:sz w:val="24"/>
          <w:szCs w:val="24"/>
          <w:lang w:val="en-GB"/>
        </w:rPr>
        <w:t>s</w:t>
      </w:r>
      <w:r w:rsidRPr="00295FF4">
        <w:rPr>
          <w:rFonts w:ascii="Times New Roman" w:eastAsia="Times New Roman" w:hAnsi="Times New Roman" w:cs="Times New Roman"/>
          <w:sz w:val="24"/>
          <w:szCs w:val="24"/>
          <w:lang w:val="en-GB"/>
        </w:rPr>
        <w:t xml:space="preserve"> change for their specific genetic dataset. Permutation-based approaches can be used to generate a distribution of values against which an observed value (here temporal change in genetic diversity) can be compared. </w:t>
      </w:r>
      <w:r w:rsidRPr="00295FF4">
        <w:rPr>
          <w:rFonts w:ascii="Times New Roman" w:eastAsia="Times New Roman" w:hAnsi="Times New Roman" w:cs="Times New Roman"/>
          <w:sz w:val="24"/>
          <w:szCs w:val="24"/>
        </w:rPr>
        <w:t xml:space="preserve">Such a permutation-based statistical inference method for the analysis of spatial-temporal changes in community composition have recently been proposed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F53A6" w:rsidRPr="002F53A6">
        <w:rPr>
          <w:rFonts w:ascii="Times New Roman" w:eastAsia="Times New Roman" w:hAnsi="Times New Roman" w:cs="Times New Roman"/>
          <w:sz w:val="24"/>
          <w:szCs w:val="24"/>
          <w:lang w:val="en-GB"/>
        </w:rPr>
        <w:t>Test</w:t>
      </w:r>
      <w:r w:rsidR="002F53A6">
        <w:rPr>
          <w:rFonts w:ascii="Times New Roman" w:eastAsia="Times New Roman" w:hAnsi="Times New Roman" w:cs="Times New Roman"/>
          <w:sz w:val="24"/>
          <w:szCs w:val="24"/>
          <w:lang w:val="en-GB"/>
        </w:rPr>
        <w:t>ing the</w:t>
      </w:r>
      <w:r w:rsidR="002F53A6" w:rsidRPr="002F53A6">
        <w:rPr>
          <w:rFonts w:ascii="Times New Roman" w:eastAsia="Times New Roman" w:hAnsi="Times New Roman" w:cs="Times New Roman"/>
          <w:sz w:val="24"/>
          <w:szCs w:val="24"/>
          <w:lang w:val="en-GB"/>
        </w:rPr>
        <w:t xml:space="preserve"> significance of</w:t>
      </w:r>
      <w:r w:rsidR="002F53A6">
        <w:rPr>
          <w:rFonts w:ascii="Times New Roman" w:eastAsia="Times New Roman" w:hAnsi="Times New Roman" w:cs="Times New Roman"/>
          <w:sz w:val="24"/>
          <w:szCs w:val="24"/>
          <w:lang w:val="en-GB"/>
        </w:rPr>
        <w:t xml:space="preserve"> </w:t>
      </w:r>
      <w:r w:rsidR="006368E7">
        <w:rPr>
          <w:rFonts w:ascii="Times New Roman" w:eastAsia="Times New Roman" w:hAnsi="Times New Roman" w:cs="Times New Roman"/>
          <w:sz w:val="24"/>
          <w:szCs w:val="24"/>
          <w:lang w:val="en-GB"/>
        </w:rPr>
        <w:t>TG</w:t>
      </w:r>
      <w:r w:rsidR="00131E2F">
        <w:rPr>
          <w:rFonts w:ascii="Times New Roman" w:eastAsia="Times New Roman" w:hAnsi="Times New Roman" w:cs="Times New Roman"/>
          <w:sz w:val="24"/>
          <w:szCs w:val="24"/>
          <w:lang w:val="en-GB"/>
        </w:rPr>
        <w:t>I</w:t>
      </w:r>
      <w:r w:rsidR="002F53A6">
        <w:rPr>
          <w:rFonts w:ascii="Times New Roman" w:eastAsia="Times New Roman" w:hAnsi="Times New Roman" w:cs="Times New Roman"/>
          <w:sz w:val="24"/>
          <w:szCs w:val="24"/>
          <w:lang w:val="en-GB"/>
        </w:rPr>
        <w:t xml:space="preserve"> involved permuting the input </w:t>
      </w:r>
      <w:r w:rsidR="003E71A5">
        <w:rPr>
          <w:rFonts w:ascii="Times New Roman" w:eastAsia="Times New Roman" w:hAnsi="Times New Roman" w:cs="Times New Roman"/>
          <w:sz w:val="24"/>
          <w:szCs w:val="24"/>
          <w:lang w:val="en-GB"/>
        </w:rPr>
        <w:t xml:space="preserve">genotypic </w:t>
      </w:r>
      <w:r w:rsidR="002F53A6">
        <w:rPr>
          <w:rFonts w:ascii="Times New Roman" w:eastAsia="Times New Roman" w:hAnsi="Times New Roman" w:cs="Times New Roman"/>
          <w:sz w:val="24"/>
          <w:szCs w:val="24"/>
          <w:lang w:val="en-GB"/>
        </w:rPr>
        <w:t>matrices</w:t>
      </w:r>
      <w:r w:rsidR="003E71A5">
        <w:rPr>
          <w:rFonts w:ascii="Times New Roman" w:eastAsia="Times New Roman" w:hAnsi="Times New Roman" w:cs="Times New Roman"/>
          <w:sz w:val="24"/>
          <w:szCs w:val="24"/>
          <w:lang w:val="en-GB"/>
        </w:rPr>
        <w:t>.</w:t>
      </w:r>
      <w:r w:rsidR="00131E2F">
        <w:rPr>
          <w:rFonts w:ascii="Times New Roman" w:eastAsia="Times New Roman" w:hAnsi="Times New Roman" w:cs="Times New Roman"/>
          <w:sz w:val="24"/>
          <w:szCs w:val="24"/>
          <w:lang w:val="en-GB"/>
        </w:rPr>
        <w:t xml:space="preserve"> </w:t>
      </w:r>
    </w:p>
    <w:p w14:paraId="52F3986E" w14:textId="779F2B10" w:rsidR="00AF3E77" w:rsidRPr="00D92DB8" w:rsidRDefault="00AF3E77"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There are several different ways that one can permute spatial-temporal genetic data</w:t>
      </w:r>
      <w:r w:rsidR="004058E4">
        <w:rPr>
          <w:rFonts w:ascii="Times New Roman" w:eastAsia="Times New Roman" w:hAnsi="Times New Roman" w:cs="Times New Roman"/>
          <w:sz w:val="24"/>
          <w:szCs w:val="24"/>
          <w:lang w:val="en-GB"/>
        </w:rPr>
        <w:t xml:space="preserve"> and choosing the right way to permute can be important to </w:t>
      </w:r>
      <w:r w:rsidR="00B63A97">
        <w:rPr>
          <w:rFonts w:ascii="Times New Roman" w:eastAsia="Times New Roman" w:hAnsi="Times New Roman" w:cs="Times New Roman"/>
          <w:sz w:val="24"/>
          <w:szCs w:val="24"/>
          <w:lang w:val="en-GB"/>
        </w:rPr>
        <w:t>make the correct inference</w:t>
      </w:r>
      <w:r w:rsidR="004058E4">
        <w:rPr>
          <w:rFonts w:ascii="Times New Roman" w:eastAsia="Times New Roman" w:hAnsi="Times New Roman" w:cs="Times New Roman"/>
          <w:sz w:val="24"/>
          <w:szCs w:val="24"/>
          <w:lang w:val="en-GB"/>
        </w:rPr>
        <w:t xml:space="preserve"> </w:t>
      </w:r>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w:t>
      </w:r>
      <w:r w:rsidR="004306AD">
        <w:rPr>
          <w:rFonts w:ascii="Times New Roman" w:eastAsia="Times New Roman" w:hAnsi="Times New Roman" w:cs="Times New Roman"/>
          <w:sz w:val="24"/>
          <w:szCs w:val="24"/>
          <w:lang w:val="en-GB"/>
        </w:rPr>
        <w:t xml:space="preserve">We chose to permute a </w:t>
      </w:r>
      <w:r w:rsidRPr="0007763B">
        <w:rPr>
          <w:rFonts w:ascii="Times New Roman" w:eastAsia="Times New Roman" w:hAnsi="Times New Roman" w:cs="Times New Roman"/>
          <w:sz w:val="24"/>
          <w:szCs w:val="24"/>
          <w:lang w:val="en-GB"/>
        </w:rPr>
        <w:t>locus</w:t>
      </w:r>
      <w:r>
        <w:rPr>
          <w:rFonts w:ascii="Times New Roman" w:eastAsia="Times New Roman" w:hAnsi="Times New Roman" w:cs="Times New Roman"/>
          <w:sz w:val="24"/>
          <w:szCs w:val="24"/>
          <w:lang w:val="en-GB"/>
        </w:rPr>
        <w:t xml:space="preserve"> with another</w:t>
      </w:r>
      <w:r w:rsidRPr="0007763B">
        <w:rPr>
          <w:rFonts w:ascii="Times New Roman" w:eastAsia="Times New Roman" w:hAnsi="Times New Roman" w:cs="Times New Roman"/>
          <w:sz w:val="24"/>
          <w:szCs w:val="24"/>
          <w:lang w:val="en-GB"/>
        </w:rPr>
        <w:t xml:space="preserve"> in the same way in both </w:t>
      </w:r>
      <w:r>
        <w:rPr>
          <w:rFonts w:ascii="Times New Roman" w:eastAsia="Times New Roman" w:hAnsi="Times New Roman" w:cs="Times New Roman"/>
          <w:sz w:val="24"/>
          <w:szCs w:val="24"/>
          <w:lang w:val="en-GB"/>
        </w:rPr>
        <w:t>temporal datasets</w:t>
      </w:r>
      <w:r w:rsidR="004306AD">
        <w:rPr>
          <w:rFonts w:ascii="Times New Roman" w:eastAsia="Times New Roman" w:hAnsi="Times New Roman" w:cs="Times New Roman"/>
          <w:sz w:val="24"/>
          <w:szCs w:val="24"/>
          <w:lang w:val="en-GB"/>
        </w:rPr>
        <w:t>, as it was highlighted as the best permutation method for community composition data (here loci replace species)</w:t>
      </w:r>
      <w:r>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 xml:space="preserve"> </w:t>
      </w:r>
      <w:r w:rsidR="004306AD">
        <w:rPr>
          <w:rFonts w:ascii="Times New Roman" w:eastAsia="Times New Roman" w:hAnsi="Times New Roman" w:cs="Times New Roman"/>
          <w:sz w:val="24"/>
          <w:szCs w:val="24"/>
          <w:lang w:val="en-GB"/>
        </w:rPr>
        <w:t xml:space="preserve">and because it was the only one which provided sensible performance in our </w:t>
      </w:r>
      <w:r w:rsidR="004306AD">
        <w:rPr>
          <w:rFonts w:ascii="Times New Roman" w:eastAsia="Times New Roman" w:hAnsi="Times New Roman" w:cs="Times New Roman"/>
          <w:sz w:val="24"/>
          <w:szCs w:val="24"/>
          <w:lang w:val="en-GB"/>
        </w:rPr>
        <w:lastRenderedPageBreak/>
        <w:t>early testing of TGI</w:t>
      </w:r>
      <w:r w:rsidR="008268BA">
        <w:rPr>
          <w:rFonts w:ascii="Times New Roman" w:eastAsia="Times New Roman" w:hAnsi="Times New Roman" w:cs="Times New Roman"/>
          <w:sz w:val="24"/>
          <w:szCs w:val="24"/>
          <w:lang w:val="en-GB"/>
        </w:rPr>
        <w:t xml:space="preserve"> (the other permutation approaches would never detect </w:t>
      </w:r>
      <w:r w:rsidR="00C60DE9">
        <w:rPr>
          <w:rFonts w:ascii="Times New Roman" w:eastAsia="Times New Roman" w:hAnsi="Times New Roman" w:cs="Times New Roman"/>
          <w:sz w:val="24"/>
          <w:szCs w:val="24"/>
          <w:lang w:val="en-GB"/>
        </w:rPr>
        <w:t>any true positive</w:t>
      </w:r>
      <w:r w:rsidR="008268BA">
        <w:rPr>
          <w:rFonts w:ascii="Times New Roman" w:eastAsia="Times New Roman" w:hAnsi="Times New Roman" w:cs="Times New Roman"/>
          <w:sz w:val="24"/>
          <w:szCs w:val="24"/>
          <w:lang w:val="en-GB"/>
        </w:rPr>
        <w:t>)</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528F3DD3"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which is very similar to the Euclidean genetic distance.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We computed the distance using the </w:t>
      </w:r>
      <w:r w:rsidR="006F59FE" w:rsidRPr="0007763B">
        <w:rPr>
          <w:rFonts w:ascii="Times New Roman" w:eastAsia="Times New Roman" w:hAnsi="Times New Roman" w:cs="Times New Roman"/>
          <w:i/>
          <w:sz w:val="24"/>
          <w:szCs w:val="24"/>
          <w:lang w:val="en-GB"/>
        </w:rPr>
        <w:t>dist.genpop</w:t>
      </w:r>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r w:rsidR="006F59FE">
        <w:rPr>
          <w:rFonts w:ascii="Times New Roman" w:eastAsia="Times New Roman" w:hAnsi="Times New Roman" w:cs="Times New Roman"/>
          <w:i/>
          <w:sz w:val="24"/>
          <w:szCs w:val="24"/>
          <w:lang w:val="en-GB"/>
        </w:rPr>
        <w:t>adegenet</w:t>
      </w:r>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4E6917" w:rsidRDefault="00910194" w:rsidP="00A51948">
      <w:pPr>
        <w:spacing w:before="240" w:line="480" w:lineRule="auto"/>
        <w:rPr>
          <w:rFonts w:ascii="Times New Roman" w:hAnsi="Times New Roman" w:cs="Times New Roman"/>
          <w:sz w:val="24"/>
          <w:szCs w:val="24"/>
          <w:lang w:val="en-CA"/>
        </w:rPr>
      </w:pPr>
      <w:bookmarkStart w:id="0" w:name="_Toc471728242"/>
      <w:bookmarkStart w:id="1"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0"/>
      <w:bookmarkEnd w:id="1"/>
    </w:p>
    <w:p w14:paraId="1ECE0643" w14:textId="02466D5A"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r w:rsidRPr="00DA3E21">
        <w:rPr>
          <w:rFonts w:ascii="Times New Roman" w:eastAsia="Times New Roman" w:hAnsi="Times New Roman" w:cs="Times New Roman"/>
          <w:i/>
          <w:sz w:val="24"/>
          <w:szCs w:val="24"/>
          <w:lang w:val="en-CA"/>
        </w:rPr>
        <w:t>CDMetaPOP</w:t>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DA3E21">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define 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square grid of 5 by 5 cells,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with </w:t>
      </w:r>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between populations 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represent</w:t>
      </w:r>
      <w:r w:rsidR="00C74EA1">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lastRenderedPageBreak/>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specified.</w:t>
      </w:r>
    </w:p>
    <w:p w14:paraId="32CD2D77" w14:textId="62DDC739"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e simulated 180 replica</w:t>
      </w:r>
      <w:r w:rsidR="00B752BC">
        <w:rPr>
          <w:rFonts w:ascii="Times New Roman" w:eastAsia="Times New Roman" w:hAnsi="Times New Roman" w:cs="Times New Roman"/>
          <w:sz w:val="24"/>
          <w:szCs w:val="24"/>
          <w:lang w:val="en-CA"/>
        </w:rPr>
        <w:t>tes for each scenario. For each replicate, we initialized the simulation with random and unique allocation of alleles among individuals, therefore reaching maximum 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77546C82" w:rsidR="00910194" w:rsidRDefault="008647FB"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We chose to simulate </w:t>
      </w:r>
      <w:r w:rsidR="00910194">
        <w:rPr>
          <w:rFonts w:ascii="Times New Roman" w:eastAsia="Times New Roman" w:hAnsi="Times New Roman" w:cs="Times New Roman"/>
          <w:sz w:val="24"/>
          <w:szCs w:val="24"/>
          <w:lang w:val="en-GB"/>
        </w:rPr>
        <w:t>immigration</w:t>
      </w:r>
      <w:r>
        <w:rPr>
          <w:rFonts w:ascii="Times New Roman" w:eastAsia="Times New Roman" w:hAnsi="Times New Roman" w:cs="Times New Roman"/>
          <w:sz w:val="24"/>
          <w:szCs w:val="24"/>
          <w:lang w:val="en-GB"/>
        </w:rPr>
        <w:t xml:space="preserve"> from a diverged population to our landscape, as a </w:t>
      </w:r>
      <w:r w:rsidR="00C74EA1">
        <w:rPr>
          <w:rFonts w:ascii="Times New Roman" w:eastAsia="Times New Roman" w:hAnsi="Times New Roman" w:cs="Times New Roman"/>
          <w:sz w:val="24"/>
          <w:szCs w:val="24"/>
          <w:lang w:val="en-GB"/>
        </w:rPr>
        <w:t xml:space="preserve">punctual </w:t>
      </w:r>
      <w:r>
        <w:rPr>
          <w:rFonts w:ascii="Times New Roman" w:eastAsia="Times New Roman" w:hAnsi="Times New Roman" w:cs="Times New Roman"/>
          <w:sz w:val="24"/>
          <w:szCs w:val="24"/>
          <w:lang w:val="en-GB"/>
        </w:rPr>
        <w:t>demographic event</w:t>
      </w:r>
      <w:r w:rsidR="00C74EA1">
        <w:rPr>
          <w:rFonts w:ascii="Times New Roman" w:eastAsia="Times New Roman" w:hAnsi="Times New Roman" w:cs="Times New Roman"/>
          <w:sz w:val="24"/>
          <w:szCs w:val="24"/>
          <w:lang w:val="en-GB"/>
        </w:rPr>
        <w:t xml:space="preserve"> affecting part of our landscape</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these </w:t>
      </w:r>
      <w:r w:rsidR="0054565E">
        <w:rPr>
          <w:rFonts w:ascii="Times New Roman" w:eastAsia="Times New Roman" w:hAnsi="Times New Roman" w:cs="Times New Roman"/>
          <w:sz w:val="24"/>
          <w:szCs w:val="24"/>
          <w:lang w:val="en-GB"/>
        </w:rPr>
        <w:t>historical</w:t>
      </w:r>
      <w:r>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54565E">
        <w:rPr>
          <w:rFonts w:ascii="Times New Roman" w:eastAsia="Times New Roman" w:hAnsi="Times New Roman" w:cs="Times New Roman"/>
          <w:sz w:val="24"/>
          <w:szCs w:val="24"/>
          <w:lang w:val="en-GB"/>
        </w:rPr>
        <w:t>using genetic data</w:t>
      </w:r>
      <w:r w:rsidR="00910194">
        <w:rPr>
          <w:rFonts w:ascii="Times New Roman" w:eastAsia="Times New Roman" w:hAnsi="Times New Roman" w:cs="Times New Roman"/>
          <w:sz w:val="24"/>
          <w:szCs w:val="24"/>
          <w:lang w:val="en-GB"/>
        </w:rPr>
        <w:t xml:space="preserve">. In simulating </w:t>
      </w:r>
      <w:r w:rsidR="00910194" w:rsidRPr="0007763B">
        <w:rPr>
          <w:rFonts w:ascii="Times New Roman" w:eastAsia="Times New Roman" w:hAnsi="Times New Roman" w:cs="Times New Roman"/>
          <w:sz w:val="24"/>
          <w:szCs w:val="24"/>
          <w:lang w:val="en-GB"/>
        </w:rPr>
        <w:t>immigration</w:t>
      </w:r>
      <w:r w:rsidR="00910194">
        <w:rPr>
          <w:rFonts w:ascii="Times New Roman" w:eastAsia="Times New Roman" w:hAnsi="Times New Roman" w:cs="Times New Roman"/>
          <w:sz w:val="24"/>
          <w:szCs w:val="24"/>
          <w:lang w:val="en-GB"/>
        </w:rPr>
        <w:t xml:space="preserve">, we allowed individuals </w:t>
      </w:r>
      <w:r w:rsidR="00910194" w:rsidRPr="0007763B">
        <w:rPr>
          <w:rFonts w:ascii="Times New Roman" w:eastAsia="Times New Roman" w:hAnsi="Times New Roman" w:cs="Times New Roman"/>
          <w:sz w:val="24"/>
          <w:szCs w:val="24"/>
          <w:lang w:val="en-GB"/>
        </w:rPr>
        <w:t>from a</w:t>
      </w:r>
      <w:r w:rsidR="00910194">
        <w:rPr>
          <w:rFonts w:ascii="Times New Roman" w:eastAsia="Times New Roman" w:hAnsi="Times New Roman" w:cs="Times New Roman"/>
          <w:sz w:val="24"/>
          <w:szCs w:val="24"/>
          <w:lang w:val="en-GB"/>
        </w:rPr>
        <w:t xml:space="preserve"> 26</w:t>
      </w:r>
      <w:r w:rsidR="00910194" w:rsidRPr="001E3806">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separate </w:t>
      </w:r>
      <w:r w:rsidR="00910194" w:rsidRPr="0007763B">
        <w:rPr>
          <w:rFonts w:ascii="Times New Roman" w:eastAsia="Times New Roman" w:hAnsi="Times New Roman" w:cs="Times New Roman"/>
          <w:sz w:val="24"/>
          <w:szCs w:val="24"/>
          <w:lang w:val="en-GB"/>
        </w:rPr>
        <w:t xml:space="preserve">population </w:t>
      </w:r>
      <w:r w:rsidR="00910194">
        <w:rPr>
          <w:rFonts w:ascii="Times New Roman" w:eastAsia="Times New Roman" w:hAnsi="Times New Roman" w:cs="Times New Roman"/>
          <w:sz w:val="24"/>
          <w:szCs w:val="24"/>
          <w:lang w:val="en-GB"/>
        </w:rPr>
        <w:t xml:space="preserve">to be added to our study area.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the demographic event,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to disperse to</w:t>
      </w:r>
      <w:r w:rsidR="00751073">
        <w:rPr>
          <w:rFonts w:ascii="Times New Roman" w:eastAsia="Times New Roman" w:hAnsi="Times New Roman" w:cs="Times New Roman"/>
          <w:sz w:val="24"/>
          <w:szCs w:val="24"/>
          <w:lang w:val="en-GB"/>
        </w:rPr>
        <w:t xml:space="preserve"> </w:t>
      </w:r>
      <w:r w:rsidR="00751073">
        <w:rPr>
          <w:rFonts w:ascii="Times New Roman" w:eastAsia="Times New Roman" w:hAnsi="Times New Roman" w:cs="Times New Roman"/>
          <w:i/>
          <w:sz w:val="24"/>
          <w:szCs w:val="24"/>
          <w:lang w:val="en-GB"/>
        </w:rPr>
        <w:t>a priori</w:t>
      </w:r>
      <w:r w:rsidR="00751073">
        <w:rPr>
          <w:rFonts w:ascii="Times New Roman" w:eastAsia="Times New Roman" w:hAnsi="Times New Roman" w:cs="Times New Roman"/>
          <w:sz w:val="24"/>
          <w:szCs w:val="24"/>
          <w:lang w:val="en-GB"/>
        </w:rPr>
        <w:t xml:space="preserve"> defined</w:t>
      </w:r>
      <w:r w:rsidR="00910194">
        <w:rPr>
          <w:rFonts w:ascii="Times New Roman" w:eastAsia="Times New Roman" w:hAnsi="Times New Roman" w:cs="Times New Roman"/>
          <w:sz w:val="24"/>
          <w:szCs w:val="24"/>
          <w:lang w:val="en-GB"/>
        </w:rPr>
        <w:t xml:space="preserve"> p</w:t>
      </w:r>
      <w:r>
        <w:rPr>
          <w:rFonts w:ascii="Times New Roman" w:eastAsia="Times New Roman" w:hAnsi="Times New Roman" w:cs="Times New Roman"/>
          <w:sz w:val="24"/>
          <w:szCs w:val="24"/>
          <w:lang w:val="en-GB"/>
        </w:rPr>
        <w:t>arts of the landscape by reducing</w:t>
      </w:r>
      <w:r w:rsidR="00910194">
        <w:rPr>
          <w:rFonts w:ascii="Times New Roman" w:eastAsia="Times New Roman" w:hAnsi="Times New Roman" w:cs="Times New Roman"/>
          <w:sz w:val="24"/>
          <w:szCs w:val="24"/>
          <w:lang w:val="en-GB"/>
        </w:rPr>
        <w:t xml:space="preserve"> dispersal distance</w:t>
      </w:r>
      <w:r>
        <w:rPr>
          <w:rFonts w:ascii="Times New Roman" w:eastAsia="Times New Roman" w:hAnsi="Times New Roman" w:cs="Times New Roman"/>
          <w:sz w:val="24"/>
          <w:szCs w:val="24"/>
          <w:lang w:val="en-GB"/>
        </w:rPr>
        <w:t xml:space="preserve"> between the 26</w:t>
      </w:r>
      <w:r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w:t>
      </w:r>
      <w:r w:rsidR="006F6A06">
        <w:rPr>
          <w:rFonts w:ascii="Times New Roman" w:eastAsia="Times New Roman" w:hAnsi="Times New Roman" w:cs="Times New Roman"/>
          <w:sz w:val="24"/>
          <w:szCs w:val="24"/>
          <w:lang w:val="en-GB"/>
        </w:rPr>
        <w:t xml:space="preserve">population </w:t>
      </w:r>
      <w:r w:rsidR="00751073">
        <w:rPr>
          <w:rFonts w:ascii="Times New Roman" w:eastAsia="Times New Roman" w:hAnsi="Times New Roman" w:cs="Times New Roman"/>
          <w:sz w:val="24"/>
          <w:szCs w:val="24"/>
          <w:lang w:val="en-GB"/>
        </w:rPr>
        <w:t>and those parts</w:t>
      </w:r>
      <w:r w:rsidR="00910194">
        <w:rPr>
          <w:rFonts w:ascii="Times New Roman" w:eastAsia="Times New Roman" w:hAnsi="Times New Roman" w:cs="Times New Roman"/>
          <w:sz w:val="24"/>
          <w:szCs w:val="24"/>
          <w:lang w:val="en-GB"/>
        </w:rPr>
        <w:t>.</w:t>
      </w:r>
    </w:p>
    <w:p w14:paraId="7FB032A3" w14:textId="474FA835"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demographic event spatial extent </w:t>
      </w:r>
      <w:r>
        <w:rPr>
          <w:rFonts w:ascii="Times New Roman" w:hAnsi="Times New Roman" w:cs="Times New Roman"/>
          <w:sz w:val="24"/>
          <w:szCs w:val="24"/>
          <w:lang w:val="en-CA"/>
        </w:rPr>
        <w:t xml:space="preserve">(number of populations) </w:t>
      </w:r>
      <w:r w:rsidRPr="0007763B">
        <w:rPr>
          <w:rFonts w:ascii="Times New Roman" w:hAnsi="Times New Roman" w:cs="Times New Roman"/>
          <w:sz w:val="24"/>
          <w:szCs w:val="24"/>
          <w:lang w:val="en-CA"/>
        </w:rPr>
        <w:t xml:space="preserve">on the persistence of genetic spatial legacies 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 xml:space="preserve">dispersal,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lastRenderedPageBreak/>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(see below)</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 xml:space="preserve">ese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00F71C48"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To model dispersal, we simply transformed</w:t>
      </w:r>
      <w:r w:rsidR="00B14D5E">
        <w:rPr>
          <w:rFonts w:ascii="Times New Roman" w:eastAsia="Times New Roman" w:hAnsi="Times New Roman" w:cs="Times New Roman"/>
          <w:sz w:val="24"/>
          <w:szCs w:val="24"/>
          <w:lang w:val="en-CA"/>
        </w:rPr>
        <w:t xml:space="preserve"> distances between populations </w:t>
      </w:r>
      <w:r>
        <w:rPr>
          <w:rFonts w:ascii="Times New Roman" w:eastAsia="Times New Roman" w:hAnsi="Times New Roman" w:cs="Times New Roman"/>
          <w:sz w:val="24"/>
          <w:szCs w:val="24"/>
          <w:lang w:val="en-CA"/>
        </w:rPr>
        <w:t xml:space="preserve">by using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represents how hard it is to disperse with high values of B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F37ADB">
        <w:rPr>
          <w:rFonts w:ascii="Times New Roman" w:eastAsia="Times New Roman" w:hAnsi="Times New Roman" w:cs="Times New Roman"/>
          <w:sz w:val="24"/>
          <w:szCs w:val="24"/>
          <w:lang w:val="en-CA"/>
        </w:rPr>
        <w:t>,</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r w:rsidRPr="003A1360">
        <w:rPr>
          <w:rFonts w:ascii="Times New Roman" w:eastAsia="Times New Roman" w:hAnsi="Times New Roman" w:cs="Times New Roman"/>
          <w:i/>
          <w:sz w:val="24"/>
          <w:szCs w:val="24"/>
          <w:lang w:val="en-CA"/>
        </w:rPr>
        <w:t>CDMetaPOP</w:t>
      </w:r>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his gave</w:t>
      </w:r>
      <w:r w:rsidR="00284908">
        <w:rPr>
          <w:rFonts w:ascii="Times New Roman" w:eastAsia="Times New Roman" w:hAnsi="Times New Roman" w:cs="Times New Roman"/>
          <w:sz w:val="24"/>
          <w:szCs w:val="24"/>
          <w:lang w:val="en-CA"/>
        </w:rPr>
        <w:t xml:space="preserve"> us a</w:t>
      </w:r>
      <w:r w:rsidR="00720E9A">
        <w:rPr>
          <w:rFonts w:ascii="Times New Roman" w:eastAsia="Times New Roman" w:hAnsi="Times New Roman" w:cs="Times New Roman"/>
          <w:sz w:val="24"/>
          <w:szCs w:val="24"/>
          <w:lang w:val="en-CA"/>
        </w:rPr>
        <w:t xml:space="preserve"> probability</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at a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2CB79E01"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was selected randomly from the set of populations available at the distance</w:t>
      </w:r>
      <w:r>
        <w:rPr>
          <w:rFonts w:ascii="Times New Roman" w:hAnsi="Times New Roman" w:cs="Times New Roman"/>
          <w:sz w:val="24"/>
          <w:szCs w:val="24"/>
          <w:lang w:val="en-CA"/>
        </w:rPr>
        <w:t xml:space="preserve"> which was itself randomly sampled in the previous step</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514E2B24" w:rsidR="003D5A1B" w:rsidRDefault="003D5A1B"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Table 1: </w:t>
      </w:r>
      <w:r w:rsidR="00367BC5">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w:t>
      </w:r>
      <w:r w:rsidR="00367BC5">
        <w:rPr>
          <w:rFonts w:ascii="Times New Roman" w:hAnsi="Times New Roman" w:cs="Times New Roman"/>
          <w:sz w:val="24"/>
          <w:szCs w:val="24"/>
          <w:lang w:val="en-CA"/>
        </w:rPr>
        <w:t xml:space="preserve"> experiment</w:t>
      </w:r>
      <w:r>
        <w:rPr>
          <w:rFonts w:ascii="Times New Roman" w:hAnsi="Times New Roman" w:cs="Times New Roman"/>
          <w:sz w:val="24"/>
          <w:szCs w:val="24"/>
          <w:lang w:val="en-CA"/>
        </w:rPr>
        <w:t xml:space="preserve"> with</w:t>
      </w:r>
      <w:r w:rsidR="00367BC5">
        <w:rPr>
          <w:rFonts w:ascii="Times New Roman" w:hAnsi="Times New Roman" w:cs="Times New Roman"/>
          <w:sz w:val="24"/>
          <w:szCs w:val="24"/>
          <w:lang w:val="en-CA"/>
        </w:rPr>
        <w:t xml:space="preserve"> scenario</w:t>
      </w:r>
      <w:r>
        <w:rPr>
          <w:rFonts w:ascii="Times New Roman" w:hAnsi="Times New Roman" w:cs="Times New Roman"/>
          <w:sz w:val="24"/>
          <w:szCs w:val="24"/>
          <w:lang w:val="en-CA"/>
        </w:rPr>
        <w:t xml:space="preserve"> abbreviations used throughout the manuscript. The numbers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executed </w:t>
      </w:r>
      <w:r w:rsidR="00A95594">
        <w:rPr>
          <w:rFonts w:ascii="Times New Roman" w:hAnsi="Times New Roman" w:cs="Times New Roman"/>
          <w:sz w:val="24"/>
          <w:szCs w:val="24"/>
          <w:lang w:val="en-CA"/>
        </w:rPr>
        <w:t>2160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0DFEC58C" w:rsidR="003D5A1B" w:rsidRPr="003D5A1B" w:rsidRDefault="003D5A1B" w:rsidP="003D5A1B">
            <w:pPr>
              <w:spacing w:before="240" w:line="480" w:lineRule="auto"/>
              <w:rPr>
                <w:rFonts w:ascii="Times New Roman" w:hAnsi="Times New Roman" w:cs="Times New Roman"/>
                <w:i/>
                <w:sz w:val="24"/>
                <w:szCs w:val="24"/>
                <w:lang w:val="en-CA"/>
              </w:rPr>
            </w:pPr>
            <w:r w:rsidRPr="003D5A1B">
              <w:rPr>
                <w:rFonts w:ascii="Times New Roman" w:hAnsi="Times New Roman" w:cs="Times New Roman"/>
                <w:i/>
                <w:sz w:val="24"/>
                <w:szCs w:val="24"/>
                <w:lang w:val="en-CA"/>
              </w:rPr>
              <w:lastRenderedPageBreak/>
              <w:t xml:space="preserve">Pop. number </w:t>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p>
        </w:tc>
        <w:tc>
          <w:tcPr>
            <w:tcW w:w="2250" w:type="dxa"/>
          </w:tcPr>
          <w:p w14:paraId="6F7637BD" w14:textId="0BA15ABB"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25452DA5" w14:textId="1D6AB9B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69F4E0A4" w14:textId="40B10DAF"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4238CF02" w:rsidR="00B00A89" w:rsidRPr="0007763B" w:rsidRDefault="00A8176B" w:rsidP="00A51948">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drawing>
          <wp:inline distT="0" distB="0" distL="0" distR="0" wp14:anchorId="48A526DA" wp14:editId="6D0DD202">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FF7D068" w14:textId="173EB339"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rsidP="00A51948">
      <w:pPr>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28037986"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among the 25. When only 1 population was </w:t>
      </w:r>
      <w:r>
        <w:rPr>
          <w:rFonts w:ascii="Times New Roman" w:eastAsia="Times New Roman" w:hAnsi="Times New Roman" w:cs="Times New Roman"/>
          <w:sz w:val="24"/>
          <w:szCs w:val="24"/>
          <w:lang w:val="en-CA"/>
        </w:rPr>
        <w:t>affected</w:t>
      </w:r>
      <w:r w:rsidR="004E13A5"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3B291B1B"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 we used TG</w:t>
      </w:r>
      <w:r w:rsidRPr="0007763B">
        <w:rPr>
          <w:rFonts w:ascii="Times New Roman" w:eastAsia="Times New Roman" w:hAnsi="Times New Roman" w:cs="Times New Roman"/>
          <w:iCs/>
          <w:sz w:val="24"/>
          <w:szCs w:val="24"/>
          <w:lang w:val="en-GB"/>
        </w:rPr>
        <w:t xml:space="preserve">I on simulation data collected each year,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We did the same with the earliest sampling period, that is </w:t>
      </w:r>
      <w:r w:rsidR="00E326F3">
        <w:rPr>
          <w:rFonts w:ascii="Times New Roman" w:eastAsia="Times New Roman" w:hAnsi="Times New Roman" w:cs="Times New Roman"/>
          <w:iCs/>
          <w:sz w:val="24"/>
          <w:szCs w:val="24"/>
          <w:lang w:val="en-GB"/>
        </w:rPr>
        <w:t xml:space="preserve">how far back an earlier sampling can be compared with a sampling done after the event.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long-term ecological research programs monitor at a shorter 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w:t>
      </w:r>
      <w:r w:rsidR="00F2342E">
        <w:rPr>
          <w:rFonts w:ascii="Times New Roman" w:eastAsia="Times New Roman" w:hAnsi="Times New Roman" w:cs="Times New Roman"/>
          <w:iCs/>
          <w:sz w:val="24"/>
          <w:szCs w:val="24"/>
          <w:lang w:val="en-GB"/>
        </w:rPr>
        <w:lastRenderedPageBreak/>
        <w:t xml:space="preserve">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threshold 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3301A297"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the atypical demographic change we forced on it during the simulation</w:t>
      </w:r>
      <w:r w:rsidRPr="0007763B">
        <w:rPr>
          <w:rFonts w:ascii="Times New Roman" w:eastAsia="Times New Roman" w:hAnsi="Times New Roman" w:cs="Times New Roman"/>
          <w:iCs/>
          <w:sz w:val="24"/>
          <w:szCs w:val="24"/>
          <w:lang w:val="en-GB"/>
        </w:rPr>
        <w:t xml:space="preserve"> but has been classified as having experienced </w:t>
      </w:r>
      <w:r w:rsidR="00171477">
        <w:rPr>
          <w:rFonts w:ascii="Times New Roman" w:eastAsia="Times New Roman" w:hAnsi="Times New Roman" w:cs="Times New Roman"/>
          <w:iCs/>
          <w:sz w:val="24"/>
          <w:szCs w:val="24"/>
          <w:lang w:val="en-GB"/>
        </w:rPr>
        <w:t>a demographic event</w:t>
      </w:r>
      <w:r w:rsidRPr="0007763B">
        <w:rPr>
          <w:rFonts w:ascii="Times New Roman" w:eastAsia="Times New Roman" w:hAnsi="Times New Roman" w:cs="Times New Roman"/>
          <w:iCs/>
          <w:sz w:val="24"/>
          <w:szCs w:val="24"/>
          <w:lang w:val="en-GB"/>
        </w:rPr>
        <w:t xml:space="preserve"> by the testing procedure. A false negative is a population that we had set as target for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demographic event but that was not cla</w:t>
      </w:r>
      <w:r w:rsidR="002363EE">
        <w:rPr>
          <w:rFonts w:ascii="Times New Roman" w:eastAsia="Times New Roman" w:hAnsi="Times New Roman" w:cs="Times New Roman"/>
          <w:iCs/>
          <w:sz w:val="24"/>
          <w:szCs w:val="24"/>
          <w:lang w:val="en-GB"/>
        </w:rPr>
        <w:t>ssified as having been affected</w:t>
      </w:r>
      <w:r w:rsidRPr="0007763B">
        <w:rPr>
          <w:rFonts w:ascii="Times New Roman" w:eastAsia="Times New Roman" w:hAnsi="Times New Roman" w:cs="Times New Roman"/>
          <w:iCs/>
          <w:sz w:val="24"/>
          <w:szCs w:val="24"/>
          <w:lang w:val="en-GB"/>
        </w:rPr>
        <w:t xml:space="preserve"> by the testing procedure. FPR represents the number of false positives over the total number of negatives, and FNR represents the number of false negative over the total number of positives. A high FPR means that we often select the wrong population(s)</w:t>
      </w:r>
      <w:r w:rsidR="00F05FD6">
        <w:rPr>
          <w:rFonts w:ascii="Times New Roman" w:eastAsia="Times New Roman" w:hAnsi="Times New Roman" w:cs="Times New Roman"/>
          <w:iCs/>
          <w:sz w:val="24"/>
          <w:szCs w:val="24"/>
          <w:lang w:val="en-GB"/>
        </w:rPr>
        <w:t xml:space="preserve">, and researchers generally want to keep it as low as possible when there are, for example, heavy costs to focusing on wrong populations such as limited </w:t>
      </w:r>
      <w:r w:rsidR="00A60F90">
        <w:rPr>
          <w:rFonts w:ascii="Times New Roman" w:eastAsia="Times New Roman" w:hAnsi="Times New Roman" w:cs="Times New Roman"/>
          <w:iCs/>
          <w:sz w:val="24"/>
          <w:szCs w:val="24"/>
          <w:lang w:val="en-GB"/>
        </w:rPr>
        <w:t>money to invest in a conservation action</w:t>
      </w:r>
      <w:r w:rsidRPr="0007763B">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A different aspect of performance, a</w:t>
      </w:r>
      <w:r w:rsidRPr="0007763B">
        <w:rPr>
          <w:rFonts w:ascii="Times New Roman" w:eastAsia="Times New Roman" w:hAnsi="Times New Roman" w:cs="Times New Roman"/>
          <w:iCs/>
          <w:sz w:val="24"/>
          <w:szCs w:val="24"/>
          <w:lang w:val="en-GB"/>
        </w:rPr>
        <w:t xml:space="preserve"> high FNR means that we often miss the right population(s).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a conservation action. </w:t>
      </w:r>
      <w:r w:rsidRPr="0007763B">
        <w:rPr>
          <w:rFonts w:ascii="Times New Roman" w:eastAsia="Times New Roman" w:hAnsi="Times New Roman" w:cs="Times New Roman"/>
          <w:sz w:val="24"/>
          <w:szCs w:val="24"/>
          <w:lang w:val="en-GB"/>
        </w:rPr>
        <w:t>Because choosing a prop</w:t>
      </w:r>
      <w:r w:rsidR="000F49A2">
        <w:rPr>
          <w:rFonts w:ascii="Times New Roman" w:eastAsia="Times New Roman" w:hAnsi="Times New Roman" w:cs="Times New Roman"/>
          <w:sz w:val="24"/>
          <w:szCs w:val="24"/>
          <w:lang w:val="en-GB"/>
        </w:rPr>
        <w:t>er threshold for the TG</w:t>
      </w:r>
      <w:r w:rsidRPr="0007763B">
        <w:rPr>
          <w:rFonts w:ascii="Times New Roman" w:eastAsia="Times New Roman" w:hAnsi="Times New Roman" w:cs="Times New Roman"/>
          <w:sz w:val="24"/>
          <w:szCs w:val="24"/>
          <w:lang w:val="en-GB"/>
        </w:rPr>
        <w:t>I permutation tests is important in order to find a compromise between power</w:t>
      </w:r>
      <w:r w:rsidR="00A60F90">
        <w:rPr>
          <w:rFonts w:ascii="Times New Roman" w:eastAsia="Times New Roman" w:hAnsi="Times New Roman" w:cs="Times New Roman"/>
          <w:sz w:val="24"/>
          <w:szCs w:val="24"/>
          <w:lang w:val="en-GB"/>
        </w:rPr>
        <w:t xml:space="preserve"> (1-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Pr="0007763B">
        <w:rPr>
          <w:rFonts w:ascii="Times New Roman" w:eastAsia="Times New Roman" w:hAnsi="Times New Roman" w:cs="Times New Roman"/>
          <w:sz w:val="24"/>
          <w:szCs w:val="24"/>
          <w:lang w:val="en-GB"/>
        </w:rPr>
        <w:t xml:space="preserve">, we </w:t>
      </w:r>
      <w:r w:rsidR="0056645A">
        <w:rPr>
          <w:rFonts w:ascii="Times New Roman" w:eastAsia="Times New Roman" w:hAnsi="Times New Roman" w:cs="Times New Roman"/>
          <w:sz w:val="24"/>
          <w:szCs w:val="24"/>
          <w:lang w:val="en-GB"/>
        </w:rPr>
        <w:t xml:space="preserve">showcased it to potential TGI users by </w:t>
      </w:r>
      <w:r w:rsidRPr="0007763B">
        <w:rPr>
          <w:rFonts w:ascii="Times New Roman" w:eastAsia="Times New Roman" w:hAnsi="Times New Roman" w:cs="Times New Roman"/>
          <w:sz w:val="24"/>
          <w:szCs w:val="24"/>
          <w:lang w:val="en-GB"/>
        </w:rPr>
        <w:t>evaluat</w:t>
      </w:r>
      <w:r w:rsidR="0056645A">
        <w:rPr>
          <w:rFonts w:ascii="Times New Roman" w:eastAsia="Times New Roman" w:hAnsi="Times New Roman" w:cs="Times New Roman"/>
          <w:sz w:val="24"/>
          <w:szCs w:val="24"/>
          <w:lang w:val="en-GB"/>
        </w:rPr>
        <w:t>ing</w:t>
      </w:r>
      <w:r w:rsidRPr="0007763B">
        <w:rPr>
          <w:rFonts w:ascii="Times New Roman" w:eastAsia="Times New Roman" w:hAnsi="Times New Roman" w:cs="Times New Roman"/>
          <w:sz w:val="24"/>
          <w:szCs w:val="24"/>
          <w:lang w:val="en-GB"/>
        </w:rPr>
        <w:t xml:space="preserve"> statistical performance across a range o</w:t>
      </w:r>
      <w:r w:rsidR="009279F4" w:rsidRPr="0007763B">
        <w:rPr>
          <w:rFonts w:ascii="Times New Roman" w:eastAsia="Times New Roman" w:hAnsi="Times New Roman" w:cs="Times New Roman"/>
          <w:sz w:val="24"/>
          <w:szCs w:val="24"/>
          <w:lang w:val="en-GB"/>
        </w:rPr>
        <w:t>f thresholds: 0.001, 0.0025, 0.005, 0.0075, 0.01, 0.025, 0.05, 0.075, 0.1</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805090">
      <w:pPr>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37012FD2"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populations are never affected by any </w:t>
      </w:r>
      <w:r w:rsidR="00B37A76">
        <w:rPr>
          <w:rFonts w:ascii="Times New Roman" w:eastAsia="Times New Roman" w:hAnsi="Times New Roman" w:cs="Times New Roman"/>
          <w:sz w:val="24"/>
          <w:szCs w:val="24"/>
          <w:lang w:val="en-CA"/>
        </w:rPr>
        <w:t xml:space="preserve">punctual demographic </w:t>
      </w:r>
      <w:r w:rsidRPr="0007763B">
        <w:rPr>
          <w:rFonts w:ascii="Times New Roman" w:eastAsia="Times New Roman" w:hAnsi="Times New Roman" w:cs="Times New Roman"/>
          <w:sz w:val="24"/>
          <w:szCs w:val="24"/>
          <w:lang w:val="en-CA"/>
        </w:rPr>
        <w:t xml:space="preserve">event and therefore </w:t>
      </w:r>
      <w:r w:rsidR="00B37A76">
        <w:rPr>
          <w:rFonts w:ascii="Times New Roman" w:eastAsia="Times New Roman" w:hAnsi="Times New Roman" w:cs="Times New Roman"/>
          <w:sz w:val="24"/>
          <w:szCs w:val="24"/>
          <w:lang w:val="en-CA"/>
        </w:rPr>
        <w:t xml:space="preserve">are </w:t>
      </w:r>
      <w:r w:rsidRPr="0007763B">
        <w:rPr>
          <w:rFonts w:ascii="Times New Roman" w:eastAsia="Times New Roman" w:hAnsi="Times New Roman" w:cs="Times New Roman"/>
          <w:sz w:val="24"/>
          <w:szCs w:val="24"/>
          <w:lang w:val="en-CA"/>
        </w:rPr>
        <w:t xml:space="preserve">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ability was the only parameter </w:t>
      </w:r>
      <w:r w:rsidR="00B37A76">
        <w:rPr>
          <w:rFonts w:ascii="Times New Roman" w:eastAsia="Times New Roman" w:hAnsi="Times New Roman" w:cs="Times New Roman"/>
          <w:sz w:val="24"/>
          <w:szCs w:val="24"/>
          <w:lang w:val="en-CA"/>
        </w:rPr>
        <w:t xml:space="preserve">varied for the </w:t>
      </w:r>
      <w:r w:rsidRPr="0007763B">
        <w:rPr>
          <w:rFonts w:ascii="Times New Roman" w:eastAsia="Times New Roman" w:hAnsi="Times New Roman" w:cs="Times New Roman"/>
          <w:sz w:val="24"/>
          <w:szCs w:val="24"/>
          <w:lang w:val="en-CA"/>
        </w:rPr>
        <w:t xml:space="preserve">controls, </w:t>
      </w:r>
      <w:r w:rsidR="00B37A76">
        <w:rPr>
          <w:rFonts w:ascii="Times New Roman" w:eastAsia="Times New Roman" w:hAnsi="Times New Roman" w:cs="Times New Roman"/>
          <w:sz w:val="24"/>
          <w:szCs w:val="24"/>
          <w:lang w:val="en-CA"/>
        </w:rPr>
        <w:t xml:space="preserve">resulting in </w:t>
      </w:r>
      <w:r w:rsidRPr="0007763B">
        <w:rPr>
          <w:rFonts w:ascii="Times New Roman" w:eastAsia="Times New Roman" w:hAnsi="Times New Roman" w:cs="Times New Roman"/>
          <w:sz w:val="24"/>
          <w:szCs w:val="24"/>
          <w:lang w:val="en-CA"/>
        </w:rPr>
        <w:t>3 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those three control scenarios (no need for FNR because there are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control values as a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3090262B"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555324">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R packages for the 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AC8DBE1" w14:textId="235F2E75" w:rsidR="008601CB" w:rsidRPr="0007763B" w:rsidRDefault="004E13A5"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r w:rsidR="008601CB" w:rsidRPr="0007763B">
        <w:rPr>
          <w:rFonts w:ascii="Times New Roman" w:eastAsia="Times New Roman" w:hAnsi="Times New Roman" w:cs="Times New Roman"/>
          <w:i/>
          <w:sz w:val="24"/>
          <w:szCs w:val="24"/>
        </w:rPr>
        <w:t xml:space="preserve">Dispersal </w:t>
      </w:r>
    </w:p>
    <w:p w14:paraId="5B810833" w14:textId="0F607B96" w:rsidR="006D4C4D" w:rsidRDefault="007F259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As hypothesized, t</w:t>
      </w:r>
      <w:r w:rsidR="00861BB3" w:rsidRPr="0007763B">
        <w:rPr>
          <w:rFonts w:ascii="Times New Roman" w:eastAsia="Times New Roman" w:hAnsi="Times New Roman" w:cs="Times New Roman"/>
          <w:sz w:val="24"/>
          <w:szCs w:val="24"/>
        </w:rPr>
        <w:t xml:space="preserve">he 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influence</w:t>
      </w:r>
      <w:r w:rsidR="00BC2FDB">
        <w:rPr>
          <w:rFonts w:ascii="Times New Roman" w:eastAsia="Times New Roman" w:hAnsi="Times New Roman" w:cs="Times New Roman"/>
          <w:sz w:val="24"/>
          <w:szCs w:val="24"/>
        </w:rPr>
        <w:t>d</w:t>
      </w:r>
      <w:r w:rsidR="00692022">
        <w:rPr>
          <w:rFonts w:ascii="Times New Roman" w:eastAsia="Times New Roman" w:hAnsi="Times New Roman" w:cs="Times New Roman"/>
          <w:sz w:val="24"/>
          <w:szCs w:val="24"/>
        </w:rPr>
        <w:t xml:space="preserve">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p>
    <w:p w14:paraId="7C59CC4B" w14:textId="60C75524" w:rsidR="006141B4" w:rsidRDefault="001F6EA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FNR substantially increase</w:t>
      </w:r>
      <w:r w:rsidR="00E341C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Pr="0007763B">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Pr>
          <w:rFonts w:ascii="Times New Roman" w:eastAsia="Times New Roman" w:hAnsi="Times New Roman" w:cs="Times New Roman"/>
          <w:sz w:val="24"/>
          <w:szCs w:val="24"/>
        </w:rPr>
        <w:t xml:space="preserve"> dispersal (H2, H3) </w:t>
      </w:r>
      <w:r w:rsidR="00E341C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the only ones with FNR values above 10% </w:t>
      </w:r>
      <w:r w:rsidR="000637AB">
        <w:rPr>
          <w:rFonts w:ascii="Times New Roman" w:eastAsia="Times New Roman" w:hAnsi="Times New Roman" w:cs="Times New Roman"/>
          <w:sz w:val="24"/>
          <w:szCs w:val="24"/>
        </w:rPr>
        <w:t>regardless of which threshold was</w:t>
      </w:r>
      <w:r>
        <w:rPr>
          <w:rFonts w:ascii="Times New Roman" w:eastAsia="Times New Roman" w:hAnsi="Times New Roman" w:cs="Times New Roman"/>
          <w:sz w:val="24"/>
          <w:szCs w:val="24"/>
        </w:rPr>
        <w:t xml:space="preserve"> used</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FNR values for all scenarios with lower </w:t>
      </w:r>
      <w:r w:rsidR="00611A4E">
        <w:rPr>
          <w:rFonts w:ascii="Times New Roman" w:eastAsia="Times New Roman" w:hAnsi="Times New Roman" w:cs="Times New Roman"/>
          <w:sz w:val="24"/>
          <w:szCs w:val="24"/>
        </w:rPr>
        <w:t xml:space="preserve">dispersal and two scenarios with moderate dispersal (M1, M2) stayed below 5% except for the lowest threshold which has a value of 1 for </w:t>
      </w:r>
      <w:r w:rsidR="00D14145">
        <w:rPr>
          <w:rFonts w:ascii="Times New Roman" w:eastAsia="Times New Roman" w:hAnsi="Times New Roman" w:cs="Times New Roman"/>
          <w:sz w:val="24"/>
          <w:szCs w:val="24"/>
        </w:rPr>
        <w:t xml:space="preserve">all </w:t>
      </w:r>
      <w:r w:rsidR="00611A4E">
        <w:rPr>
          <w:rFonts w:ascii="Times New Roman" w:eastAsia="Times New Roman" w:hAnsi="Times New Roman" w:cs="Times New Roman"/>
          <w:sz w:val="24"/>
          <w:szCs w:val="24"/>
        </w:rPr>
        <w:t xml:space="preserve">scenarios as it is so conservative that it never selects a population as positive. </w:t>
      </w:r>
      <w:r w:rsidR="009F61E0">
        <w:rPr>
          <w:rFonts w:ascii="Times New Roman" w:eastAsia="Times New Roman" w:hAnsi="Times New Roman" w:cs="Times New Roman"/>
          <w:sz w:val="24"/>
          <w:szCs w:val="24"/>
        </w:rPr>
        <w:t>One high dispersal scenario with the lowest number of affected population</w:t>
      </w:r>
      <w:r w:rsidR="00D2058D">
        <w:rPr>
          <w:rFonts w:ascii="Times New Roman" w:eastAsia="Times New Roman" w:hAnsi="Times New Roman" w:cs="Times New Roman"/>
          <w:sz w:val="24"/>
          <w:szCs w:val="24"/>
        </w:rPr>
        <w:t>s</w:t>
      </w:r>
      <w:r w:rsidR="009F61E0">
        <w:rPr>
          <w:rFonts w:ascii="Times New Roman" w:eastAsia="Times New Roman" w:hAnsi="Times New Roman" w:cs="Times New Roman"/>
          <w:sz w:val="24"/>
          <w:szCs w:val="24"/>
        </w:rPr>
        <w:t xml:space="preserve"> (H1) had overlapping 95% </w:t>
      </w:r>
      <w:r w:rsidR="00B03466">
        <w:rPr>
          <w:rFonts w:ascii="Times New Roman" w:eastAsia="Times New Roman" w:hAnsi="Times New Roman" w:cs="Times New Roman"/>
          <w:sz w:val="24"/>
          <w:szCs w:val="24"/>
        </w:rPr>
        <w:t xml:space="preserve">confidence intervals with other, lower dispersal scenarios (Fig. 2). </w:t>
      </w:r>
      <w:r w:rsidR="00611A4E">
        <w:rPr>
          <w:rFonts w:ascii="Times New Roman" w:eastAsia="Times New Roman" w:hAnsi="Times New Roman" w:cs="Times New Roman"/>
          <w:sz w:val="24"/>
          <w:szCs w:val="24"/>
        </w:rPr>
        <w:t>Taking the average from scenario</w:t>
      </w:r>
      <w:r w:rsidR="002E7623">
        <w:rPr>
          <w:rFonts w:ascii="Times New Roman" w:eastAsia="Times New Roman" w:hAnsi="Times New Roman" w:cs="Times New Roman"/>
          <w:sz w:val="24"/>
          <w:szCs w:val="24"/>
        </w:rPr>
        <w:t>s</w:t>
      </w:r>
      <w:r w:rsidR="00611A4E">
        <w:rPr>
          <w:rFonts w:ascii="Times New Roman" w:eastAsia="Times New Roman" w:hAnsi="Times New Roman" w:cs="Times New Roman"/>
          <w:sz w:val="24"/>
          <w:szCs w:val="24"/>
        </w:rPr>
        <w:t xml:space="preserve"> sharin</w:t>
      </w:r>
      <w:r w:rsidR="00D14145">
        <w:rPr>
          <w:rFonts w:ascii="Times New Roman" w:eastAsia="Times New Roman" w:hAnsi="Times New Roman" w:cs="Times New Roman"/>
          <w:sz w:val="24"/>
          <w:szCs w:val="24"/>
        </w:rPr>
        <w:t>g the same dispersal parameters</w:t>
      </w:r>
      <w:r w:rsidR="00611A4E">
        <w:rPr>
          <w:rFonts w:ascii="Times New Roman" w:eastAsia="Times New Roman" w:hAnsi="Times New Roman" w:cs="Times New Roman"/>
          <w:sz w:val="24"/>
          <w:szCs w:val="24"/>
        </w:rPr>
        <w:t xml:space="preserve"> for the ubiquitous 0.05 threshold,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FNRs of</w:t>
      </w:r>
      <w:r w:rsidR="00611A4E">
        <w:rPr>
          <w:rFonts w:ascii="Times New Roman" w:eastAsia="Times New Roman" w:hAnsi="Times New Roman" w:cs="Times New Roman"/>
          <w:sz w:val="24"/>
          <w:szCs w:val="24"/>
        </w:rPr>
        <w:t xml:space="preserve"> 0.0046 for low dispersal, 0.0235 for moderate dispersal, and 0.2164 for high dispersal.</w:t>
      </w:r>
      <w:r w:rsidR="00D66B9D">
        <w:rPr>
          <w:rFonts w:ascii="Times New Roman" w:eastAsia="Times New Roman" w:hAnsi="Times New Roman" w:cs="Times New Roman"/>
          <w:sz w:val="24"/>
          <w:szCs w:val="24"/>
        </w:rPr>
        <w:t xml:space="preserve"> FNR values overall decrease</w:t>
      </w:r>
      <w:r w:rsidR="002E7623">
        <w:rPr>
          <w:rFonts w:ascii="Times New Roman" w:eastAsia="Times New Roman" w:hAnsi="Times New Roman" w:cs="Times New Roman"/>
          <w:sz w:val="24"/>
          <w:szCs w:val="24"/>
        </w:rPr>
        <w:t>d</w:t>
      </w:r>
      <w:r w:rsidR="00D66B9D">
        <w:rPr>
          <w:rFonts w:ascii="Times New Roman" w:eastAsia="Times New Roman" w:hAnsi="Times New Roman" w:cs="Times New Roman"/>
          <w:sz w:val="24"/>
          <w:szCs w:val="24"/>
        </w:rPr>
        <w:t xml:space="preserve"> with threshold, with a sharp decrease before 0.025 followed by a slower decrease until 0.1 (Fig. 2).</w:t>
      </w:r>
    </w:p>
    <w:p w14:paraId="5BD0A54B" w14:textId="4256A12E"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with </w:t>
      </w:r>
      <w:r w:rsidRPr="0007763B">
        <w:rPr>
          <w:rFonts w:ascii="Times New Roman" w:eastAsia="Times New Roman" w:hAnsi="Times New Roman" w:cs="Times New Roman"/>
          <w:sz w:val="24"/>
          <w:szCs w:val="24"/>
        </w:rPr>
        <w:t xml:space="preserve">dispersal intensity (Fig.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scenarios systematically </w:t>
      </w:r>
      <w:r w:rsidR="00E341C6">
        <w:rPr>
          <w:rFonts w:ascii="Times New Roman" w:eastAsia="Times New Roman" w:hAnsi="Times New Roman" w:cs="Times New Roman"/>
          <w:sz w:val="24"/>
          <w:szCs w:val="24"/>
        </w:rPr>
        <w:t>had higher FPR values than moderate dispersal scenarios, which in turn had higher FPR values than higher dispersal s</w:t>
      </w:r>
      <w:r w:rsidR="0012642F">
        <w:rPr>
          <w:rFonts w:ascii="Times New Roman" w:eastAsia="Times New Roman" w:hAnsi="Times New Roman" w:cs="Times New Roman"/>
          <w:sz w:val="24"/>
          <w:szCs w:val="24"/>
        </w:rPr>
        <w:t>cenario (Fig. 3)</w:t>
      </w:r>
      <w:r w:rsidR="00B105CD">
        <w:rPr>
          <w:rFonts w:ascii="Times New Roman" w:eastAsia="Times New Roman" w:hAnsi="Times New Roman" w:cs="Times New Roman"/>
          <w:sz w:val="24"/>
          <w:szCs w:val="24"/>
        </w:rPr>
        <w:t>, although there was some overlap between the performance of M1 and L3</w:t>
      </w:r>
      <w:r w:rsidR="005C6B4D">
        <w:rPr>
          <w:rFonts w:ascii="Times New Roman" w:eastAsia="Times New Roman" w:hAnsi="Times New Roman" w:cs="Times New Roman"/>
          <w:sz w:val="24"/>
          <w:szCs w:val="24"/>
        </w:rPr>
        <w:t xml:space="preserve"> (Fig. 3)</w:t>
      </w:r>
      <w:r w:rsidR="0012642F">
        <w:rPr>
          <w:rFonts w:ascii="Times New Roman" w:eastAsia="Times New Roman" w:hAnsi="Times New Roman" w:cs="Times New Roman"/>
          <w:sz w:val="24"/>
          <w:szCs w:val="24"/>
        </w:rPr>
        <w:t>. If we conservatively define the</w:t>
      </w:r>
      <w:r w:rsidR="00E341C6">
        <w:rPr>
          <w:rFonts w:ascii="Times New Roman" w:eastAsia="Times New Roman" w:hAnsi="Times New Roman" w:cs="Times New Roman"/>
          <w:sz w:val="24"/>
          <w:szCs w:val="24"/>
        </w:rPr>
        <w:t xml:space="preserve"> appropriate</w:t>
      </w:r>
      <w:r w:rsidR="0012642F">
        <w:rPr>
          <w:rFonts w:ascii="Times New Roman" w:eastAsia="Times New Roman" w:hAnsi="Times New Roman" w:cs="Times New Roman"/>
          <w:sz w:val="24"/>
          <w:szCs w:val="24"/>
        </w:rPr>
        <w:t>ness of a</w:t>
      </w:r>
      <w:r w:rsidR="00E341C6">
        <w:rPr>
          <w:rFonts w:ascii="Times New Roman" w:eastAsia="Times New Roman" w:hAnsi="Times New Roman" w:cs="Times New Roman"/>
          <w:sz w:val="24"/>
          <w:szCs w:val="24"/>
        </w:rPr>
        <w:t xml:space="preserve"> FPR value </w:t>
      </w:r>
      <w:r w:rsidR="0012642F">
        <w:rPr>
          <w:rFonts w:ascii="Times New Roman" w:eastAsia="Times New Roman" w:hAnsi="Times New Roman" w:cs="Times New Roman"/>
          <w:sz w:val="24"/>
          <w:szCs w:val="24"/>
        </w:rPr>
        <w:t>by whether it is below the t</w:t>
      </w:r>
      <w:r w:rsidR="00CB24CD">
        <w:rPr>
          <w:rFonts w:ascii="Times New Roman" w:eastAsia="Times New Roman" w:hAnsi="Times New Roman" w:cs="Times New Roman"/>
          <w:sz w:val="24"/>
          <w:szCs w:val="24"/>
        </w:rPr>
        <w:t>hreshold used in the test, then</w:t>
      </w:r>
      <w:r w:rsidR="005E4D5F">
        <w:rPr>
          <w:rFonts w:ascii="Times New Roman" w:eastAsia="Times New Roman" w:hAnsi="Times New Roman" w:cs="Times New Roman"/>
          <w:sz w:val="24"/>
          <w:szCs w:val="24"/>
        </w:rPr>
        <w:t xml:space="preserve"> higher dispersal scenarios more often offered appropriate FPR values (Table 2). Only the high dispersal scenarios (H1, H2, H3) presented appropriate FPR values across all thresholds (Table 2).</w:t>
      </w:r>
      <w:r w:rsidR="00D66B9D">
        <w:rPr>
          <w:rFonts w:ascii="Times New Roman" w:eastAsia="Times New Roman" w:hAnsi="Times New Roman" w:cs="Times New Roman"/>
          <w:sz w:val="24"/>
          <w:szCs w:val="24"/>
        </w:rPr>
        <w:t xml:space="preserve"> Conversely, one low dispersal scenario (L1) never satisfied the condition with FPR values consistently higher than the threshold, except for the first one which 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0.05 threshold, were 0.0796 for low dispersal, 0.0322 for moderate dispersal, a</w:t>
      </w:r>
      <w:r w:rsidR="00D23CEC">
        <w:rPr>
          <w:rFonts w:ascii="Times New Roman" w:eastAsia="Times New Roman" w:hAnsi="Times New Roman" w:cs="Times New Roman"/>
          <w:sz w:val="24"/>
          <w:szCs w:val="24"/>
        </w:rPr>
        <w:t>nd 0.0035 for high dispersal. FP</w:t>
      </w:r>
      <w:r w:rsidR="009B001E">
        <w:rPr>
          <w:rFonts w:ascii="Times New Roman" w:eastAsia="Times New Roman" w:hAnsi="Times New Roman" w:cs="Times New Roman"/>
          <w:sz w:val="24"/>
          <w:szCs w:val="24"/>
        </w:rPr>
        <w:t xml:space="preserve">R values </w:t>
      </w:r>
      <w:r w:rsidR="009B001E">
        <w:rPr>
          <w:rFonts w:ascii="Times New Roman" w:eastAsia="Times New Roman" w:hAnsi="Times New Roman" w:cs="Times New Roman"/>
          <w:sz w:val="24"/>
          <w:szCs w:val="24"/>
        </w:rPr>
        <w:lastRenderedPageBreak/>
        <w:t xml:space="preserve">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continued but saturating increase until 0.1 (Fig. 3</w:t>
      </w:r>
      <w:r w:rsidR="009B001E">
        <w:rPr>
          <w:rFonts w:ascii="Times New Roman" w:eastAsia="Times New Roman" w:hAnsi="Times New Roman" w:cs="Times New Roman"/>
          <w:sz w:val="24"/>
          <w:szCs w:val="24"/>
        </w:rPr>
        <w:t xml:space="preserve">). </w:t>
      </w:r>
    </w:p>
    <w:p w14:paraId="074FD808" w14:textId="519B5D41" w:rsidR="00117E9F" w:rsidRDefault="00A8176B" w:rsidP="00A51948">
      <w:pPr>
        <w:spacing w:before="240" w:after="240" w:line="480" w:lineRule="auto"/>
        <w:rPr>
          <w:rFonts w:ascii="Times New Roman" w:eastAsia="Times New Roman" w:hAnsi="Times New Roman" w:cs="Times New Roman"/>
          <w:sz w:val="24"/>
          <w:szCs w:val="24"/>
        </w:rPr>
      </w:pPr>
      <w:r w:rsidRPr="00A8176B">
        <w:rPr>
          <w:rFonts w:ascii="Times New Roman" w:eastAsia="Times New Roman" w:hAnsi="Times New Roman" w:cs="Times New Roman"/>
          <w:noProof/>
          <w:sz w:val="24"/>
          <w:szCs w:val="24"/>
        </w:rPr>
        <w:drawing>
          <wp:inline distT="0" distB="0" distL="0" distR="0" wp14:anchorId="1F573B35" wp14:editId="7BC97E7E">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A58C40" w14:textId="5BE2D489" w:rsidR="00117E9F"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sidR="00117E9F">
        <w:rPr>
          <w:rFonts w:ascii="Times New Roman" w:eastAsia="Times New Roman" w:hAnsi="Times New Roman" w:cs="Times New Roman"/>
          <w:sz w:val="24"/>
          <w:szCs w:val="24"/>
        </w:rPr>
        <w:t>FNR across all threshold and scenarios.</w:t>
      </w:r>
      <w:r w:rsidR="00B1651D">
        <w:rPr>
          <w:rFonts w:ascii="Times New Roman" w:eastAsia="Times New Roman" w:hAnsi="Times New Roman" w:cs="Times New Roman"/>
          <w:sz w:val="24"/>
          <w:szCs w:val="24"/>
        </w:rPr>
        <w:t xml:space="preserve"> There are no control experiment results displayed for FNR because there are no possible true positives in control experiments, hence no false negatives either.</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5%</w:t>
      </w:r>
      <w:r w:rsidR="009F61E0">
        <w:rPr>
          <w:rFonts w:ascii="Times New Roman" w:eastAsia="Times New Roman" w:hAnsi="Times New Roman" w:cs="Times New Roman"/>
          <w:sz w:val="24"/>
          <w:szCs w:val="24"/>
        </w:rPr>
        <w:t xml:space="preserve"> confidence intervals are displayed by bars.</w:t>
      </w:r>
    </w:p>
    <w:p w14:paraId="3D0EB4E2" w14:textId="48BE9840" w:rsidR="003D67FC" w:rsidRDefault="003D67FC" w:rsidP="00A51948">
      <w:pPr>
        <w:spacing w:before="240" w:after="240" w:line="480" w:lineRule="auto"/>
        <w:rPr>
          <w:rFonts w:ascii="Times New Roman" w:eastAsia="Times New Roman" w:hAnsi="Times New Roman" w:cs="Times New Roman"/>
          <w:sz w:val="24"/>
          <w:szCs w:val="24"/>
        </w:rPr>
      </w:pPr>
      <w:r w:rsidRPr="003D67FC">
        <w:rPr>
          <w:rFonts w:ascii="Times New Roman" w:eastAsia="Times New Roman" w:hAnsi="Times New Roman" w:cs="Times New Roman"/>
          <w:noProof/>
          <w:sz w:val="24"/>
          <w:szCs w:val="24"/>
        </w:rPr>
        <w:lastRenderedPageBreak/>
        <w:drawing>
          <wp:inline distT="0" distB="0" distL="0" distR="0" wp14:anchorId="7DC0724F" wp14:editId="1B5B11E4">
            <wp:extent cx="5943600" cy="4457700"/>
            <wp:effectExtent l="0" t="0" r="0" b="0"/>
            <wp:docPr id="14" name="Image 14"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OneDrive\Desktop\Git_Projects\Genetic_TBI_LCBD\Fig3_800x60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05A5E0" w14:textId="09600DAB" w:rsidR="009F61E0" w:rsidRDefault="00510355" w:rsidP="009F61E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w:t>
      </w:r>
      <w:r w:rsidR="002760DF">
        <w:rPr>
          <w:rFonts w:ascii="Times New Roman" w:eastAsia="Times New Roman" w:hAnsi="Times New Roman" w:cs="Times New Roman"/>
          <w:sz w:val="24"/>
          <w:szCs w:val="24"/>
        </w:rPr>
        <w:t xml:space="preserve"> Control</w:t>
      </w:r>
      <w:r w:rsidR="005B5111">
        <w:rPr>
          <w:rFonts w:ascii="Times New Roman" w:eastAsia="Times New Roman" w:hAnsi="Times New Roman" w:cs="Times New Roman"/>
          <w:sz w:val="24"/>
          <w:szCs w:val="24"/>
        </w:rPr>
        <w:t xml:space="preserve"> experiments</w:t>
      </w:r>
      <w:r w:rsidR="002760DF">
        <w:rPr>
          <w:rFonts w:ascii="Times New Roman" w:eastAsia="Times New Roman" w:hAnsi="Times New Roman" w:cs="Times New Roman"/>
          <w:sz w:val="24"/>
          <w:szCs w:val="24"/>
        </w:rPr>
        <w:t xml:space="preserve"> are shown with </w:t>
      </w:r>
      <w:r w:rsidR="005B5111">
        <w:rPr>
          <w:rFonts w:ascii="Times New Roman" w:eastAsia="Times New Roman" w:hAnsi="Times New Roman" w:cs="Times New Roman"/>
          <w:sz w:val="24"/>
          <w:szCs w:val="24"/>
        </w:rPr>
        <w:t>dashed</w:t>
      </w:r>
      <w:r w:rsidR="002760DF">
        <w:rPr>
          <w:rFonts w:ascii="Times New Roman" w:eastAsia="Times New Roman" w:hAnsi="Times New Roman" w:cs="Times New Roman"/>
          <w:sz w:val="24"/>
          <w:szCs w:val="24"/>
        </w:rPr>
        <w:t xml:space="preserve"> lines</w:t>
      </w:r>
      <w:r w:rsidR="00CE71E7">
        <w:rPr>
          <w:rFonts w:ascii="Times New Roman" w:eastAsia="Times New Roman" w:hAnsi="Times New Roman" w:cs="Times New Roman"/>
          <w:sz w:val="24"/>
          <w:szCs w:val="24"/>
        </w:rPr>
        <w:t>.</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 xml:space="preserve">5% </w:t>
      </w:r>
      <w:r w:rsidR="009F61E0">
        <w:rPr>
          <w:rFonts w:ascii="Times New Roman" w:eastAsia="Times New Roman" w:hAnsi="Times New Roman" w:cs="Times New Roman"/>
          <w:sz w:val="24"/>
          <w:szCs w:val="24"/>
        </w:rPr>
        <w:t xml:space="preserve"> confidence intervals are displayed by bars.</w:t>
      </w:r>
    </w:p>
    <w:p w14:paraId="23ADBAA0" w14:textId="3DFA290D" w:rsidR="00BC2FDB" w:rsidRDefault="00BC2FDB" w:rsidP="00BC2FDB">
      <w:pPr>
        <w:spacing w:before="240" w:after="240" w:line="480" w:lineRule="auto"/>
        <w:rPr>
          <w:rFonts w:ascii="Times New Roman" w:eastAsia="Times New Roman" w:hAnsi="Times New Roman" w:cs="Times New Roman"/>
          <w:sz w:val="24"/>
          <w:szCs w:val="24"/>
        </w:rPr>
      </w:pPr>
    </w:p>
    <w:p w14:paraId="542079E7" w14:textId="3F971FDA" w:rsidR="00510355" w:rsidRDefault="00510355" w:rsidP="00510355">
      <w:pPr>
        <w:spacing w:before="240" w:after="240" w:line="480" w:lineRule="auto"/>
        <w:rPr>
          <w:rFonts w:ascii="Times New Roman" w:eastAsia="Times New Roman" w:hAnsi="Times New Roman" w:cs="Times New Roman"/>
          <w:sz w:val="24"/>
          <w:szCs w:val="24"/>
        </w:rPr>
      </w:pPr>
    </w:p>
    <w:p w14:paraId="5CD3B67D" w14:textId="480D1363" w:rsidR="004B20F9" w:rsidRDefault="004B20F9" w:rsidP="00A51948">
      <w:pPr>
        <w:spacing w:before="240" w:after="240" w:line="480" w:lineRule="auto"/>
        <w:rPr>
          <w:rFonts w:ascii="Times New Roman" w:eastAsia="Times New Roman" w:hAnsi="Times New Roman" w:cs="Times New Roman"/>
          <w:sz w:val="24"/>
          <w:szCs w:val="24"/>
        </w:rPr>
      </w:pP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69DA08A9" w14:textId="0F2A17A4"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lastRenderedPageBreak/>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T stands for</w:t>
      </w:r>
      <w:r>
        <w:rPr>
          <w:rFonts w:ascii="Times New Roman" w:eastAsia="Times New Roman" w:hAnsi="Times New Roman" w:cs="Times New Roman"/>
          <w:sz w:val="24"/>
          <w:szCs w:val="24"/>
        </w:rPr>
        <w:t xml:space="preserve"> </w:t>
      </w:r>
      <w:r w:rsidR="004B20F9">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004B20F9">
        <w:rPr>
          <w:rFonts w:ascii="Times New Roman" w:eastAsia="Times New Roman" w:hAnsi="Times New Roman" w:cs="Times New Roman"/>
          <w:sz w:val="24"/>
          <w:szCs w:val="24"/>
        </w:rPr>
        <w:t xml:space="preserve">rue” and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 xml:space="preserve"> stands for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alse”.</w:t>
      </w:r>
    </w:p>
    <w:tbl>
      <w:tblPr>
        <w:tblStyle w:val="Grilledutableau"/>
        <w:tblW w:w="0" w:type="auto"/>
        <w:tblCellMar>
          <w:left w:w="0" w:type="dxa"/>
          <w:right w:w="0" w:type="dxa"/>
        </w:tblCellMar>
        <w:tblLook w:val="04A0" w:firstRow="1" w:lastRow="0" w:firstColumn="1" w:lastColumn="0" w:noHBand="0" w:noVBand="1"/>
      </w:tblPr>
      <w:tblGrid>
        <w:gridCol w:w="1075"/>
        <w:gridCol w:w="919"/>
        <w:gridCol w:w="919"/>
        <w:gridCol w:w="920"/>
        <w:gridCol w:w="919"/>
        <w:gridCol w:w="920"/>
        <w:gridCol w:w="919"/>
        <w:gridCol w:w="920"/>
        <w:gridCol w:w="919"/>
        <w:gridCol w:w="920"/>
      </w:tblGrid>
      <w:tr w:rsidR="00CB24CD" w14:paraId="1DA54E7F" w14:textId="77777777" w:rsidTr="0072718C">
        <w:trPr>
          <w:cantSplit/>
          <w:trHeight w:val="1097"/>
        </w:trPr>
        <w:tc>
          <w:tcPr>
            <w:tcW w:w="1075" w:type="dxa"/>
            <w:noWrap/>
          </w:tcPr>
          <w:p w14:paraId="4A5BD3B4" w14:textId="77777777" w:rsidR="0072718C" w:rsidRDefault="0072718C" w:rsidP="0072718C">
            <w:pPr>
              <w:spacing w:before="240" w:after="240"/>
              <w:jc w:val="center"/>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p>
          <w:p w14:paraId="3D5E84F9" w14:textId="3FD58D43" w:rsidR="00CB24CD" w:rsidRPr="00CB24CD" w:rsidRDefault="0072718C" w:rsidP="0072718C">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p>
        </w:tc>
        <w:tc>
          <w:tcPr>
            <w:tcW w:w="919" w:type="dxa"/>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72718C">
        <w:trPr>
          <w:trHeight w:hRule="exact" w:val="576"/>
        </w:trPr>
        <w:tc>
          <w:tcPr>
            <w:tcW w:w="1075" w:type="dxa"/>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919" w:type="dxa"/>
            <w:shd w:val="clear" w:color="auto" w:fill="92D050"/>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72718C">
        <w:trPr>
          <w:trHeight w:hRule="exact" w:val="576"/>
        </w:trPr>
        <w:tc>
          <w:tcPr>
            <w:tcW w:w="1075" w:type="dxa"/>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919" w:type="dxa"/>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72718C">
        <w:trPr>
          <w:trHeight w:hRule="exact" w:val="576"/>
        </w:trPr>
        <w:tc>
          <w:tcPr>
            <w:tcW w:w="1075" w:type="dxa"/>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919" w:type="dxa"/>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72718C">
        <w:trPr>
          <w:trHeight w:hRule="exact" w:val="576"/>
        </w:trPr>
        <w:tc>
          <w:tcPr>
            <w:tcW w:w="1075" w:type="dxa"/>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919" w:type="dxa"/>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72718C">
        <w:trPr>
          <w:trHeight w:hRule="exact" w:val="576"/>
        </w:trPr>
        <w:tc>
          <w:tcPr>
            <w:tcW w:w="1075" w:type="dxa"/>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919" w:type="dxa"/>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72718C">
        <w:trPr>
          <w:trHeight w:hRule="exact" w:val="576"/>
        </w:trPr>
        <w:tc>
          <w:tcPr>
            <w:tcW w:w="1075" w:type="dxa"/>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919" w:type="dxa"/>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72718C">
        <w:trPr>
          <w:trHeight w:hRule="exact" w:val="576"/>
        </w:trPr>
        <w:tc>
          <w:tcPr>
            <w:tcW w:w="1075" w:type="dxa"/>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919" w:type="dxa"/>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72718C">
        <w:trPr>
          <w:trHeight w:hRule="exact" w:val="576"/>
        </w:trPr>
        <w:tc>
          <w:tcPr>
            <w:tcW w:w="1075" w:type="dxa"/>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919" w:type="dxa"/>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72718C">
        <w:trPr>
          <w:trHeight w:hRule="exact" w:val="576"/>
        </w:trPr>
        <w:tc>
          <w:tcPr>
            <w:tcW w:w="1075" w:type="dxa"/>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919" w:type="dxa"/>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3C51F1FA"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exceptional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the overlapping of FPR and FNR values across scenarios with similar dispersal, </w:t>
      </w:r>
      <w:r w:rsidR="001563B0">
        <w:rPr>
          <w:rFonts w:ascii="Times New Roman" w:eastAsia="Times New Roman" w:hAnsi="Times New Roman" w:cs="Times New Roman"/>
          <w:sz w:val="24"/>
          <w:szCs w:val="24"/>
        </w:rPr>
        <w:t>the effect of the number of populations did not affect the performance as much as dispersal, with the lev</w:t>
      </w:r>
      <w:r w:rsidR="00535B75">
        <w:rPr>
          <w:rFonts w:ascii="Times New Roman" w:eastAsia="Times New Roman" w:hAnsi="Times New Roman" w:cs="Times New Roman"/>
          <w:sz w:val="24"/>
          <w:szCs w:val="24"/>
        </w:rPr>
        <w:t>els we used (Table 2; Fig.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was generally the most substantial on </w:t>
      </w:r>
      <w:r w:rsidR="004A6C2F">
        <w:rPr>
          <w:rFonts w:ascii="Times New Roman" w:eastAsia="Times New Roman" w:hAnsi="Times New Roman" w:cs="Times New Roman"/>
          <w:sz w:val="24"/>
          <w:szCs w:val="24"/>
        </w:rPr>
        <w:lastRenderedPageBreak/>
        <w:t>performance,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samplings</w:t>
      </w:r>
    </w:p>
    <w:p w14:paraId="4E2D29FA" w14:textId="1D291E3C"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signal of the demographic event inflicted upon populations disappears gradually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sampling and post-event sampling</w:t>
      </w:r>
      <w:r w:rsidR="00A30430" w:rsidRPr="0007763B">
        <w:rPr>
          <w:rFonts w:ascii="Times New Roman" w:eastAsia="Times New Roman" w:hAnsi="Times New Roman" w:cs="Times New Roman"/>
          <w:sz w:val="24"/>
          <w:szCs w:val="24"/>
        </w:rPr>
        <w:t xml:space="preserve">, the less power </w:t>
      </w:r>
      <w:r w:rsidR="00AE35CD">
        <w:rPr>
          <w:rFonts w:ascii="Times New Roman" w:eastAsia="Times New Roman" w:hAnsi="Times New Roman" w:cs="Times New Roman"/>
          <w:sz w:val="24"/>
          <w:szCs w:val="24"/>
        </w:rPr>
        <w:t>we have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r w:rsidR="00AE35CD">
        <w:rPr>
          <w:rFonts w:ascii="Times New Roman" w:eastAsia="Times New Roman" w:hAnsi="Times New Roman" w:cs="Times New Roman"/>
          <w:sz w:val="24"/>
          <w:szCs w:val="24"/>
        </w:rPr>
        <w:t>, and by the number of populations to a lower degree</w:t>
      </w:r>
      <w:r w:rsidR="00D2058D">
        <w:rPr>
          <w:rFonts w:ascii="Times New Roman" w:eastAsia="Times New Roman" w:hAnsi="Times New Roman" w:cs="Times New Roman"/>
          <w:sz w:val="24"/>
          <w:szCs w:val="24"/>
        </w:rPr>
        <w:t>.</w:t>
      </w:r>
    </w:p>
    <w:p w14:paraId="4665EAC7" w14:textId="4F116E8E"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as 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4E072F">
        <w:rPr>
          <w:rFonts w:ascii="Times New Roman" w:eastAsia="Times New Roman" w:hAnsi="Times New Roman" w:cs="Times New Roman"/>
          <w:sz w:val="24"/>
          <w:szCs w:val="24"/>
        </w:rPr>
        <w:t xml:space="preserve"> (Fig. 5</w:t>
      </w:r>
      <w:r w:rsidR="00FA090A">
        <w:rPr>
          <w:rFonts w:ascii="Times New Roman" w:eastAsia="Times New Roman" w:hAnsi="Times New Roman" w:cs="Times New Roman"/>
          <w:sz w:val="24"/>
          <w:szCs w:val="24"/>
        </w:rPr>
        <w:t>)</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t>
      </w:r>
      <w:r w:rsidR="004E072F">
        <w:rPr>
          <w:rFonts w:ascii="Times New Roman" w:eastAsia="Times New Roman" w:hAnsi="Times New Roman" w:cs="Times New Roman"/>
          <w:sz w:val="24"/>
          <w:szCs w:val="24"/>
        </w:rPr>
        <w:t>(Fig. 5</w:t>
      </w:r>
      <w:r w:rsidR="00FA090A">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w:t>
      </w:r>
      <w:r w:rsidR="004E072F">
        <w:rPr>
          <w:rFonts w:ascii="Times New Roman" w:eastAsia="Times New Roman" w:hAnsi="Times New Roman" w:cs="Times New Roman"/>
          <w:sz w:val="24"/>
          <w:szCs w:val="24"/>
        </w:rPr>
        <w:t xml:space="preserve"> (Fig. 5</w:t>
      </w:r>
      <w:r w:rsidR="00B031BE">
        <w:rPr>
          <w:rFonts w:ascii="Times New Roman" w:eastAsia="Times New Roman" w:hAnsi="Times New Roman" w:cs="Times New Roman"/>
          <w:sz w:val="24"/>
          <w:szCs w:val="24"/>
        </w:rPr>
        <w:t>). For sampling after the event, moderate dispersal values become even higher than that of low dispersal scenarios, despite large overlaps in th</w:t>
      </w:r>
      <w:r w:rsidR="004E072F">
        <w:rPr>
          <w:rFonts w:ascii="Times New Roman" w:eastAsia="Times New Roman" w:hAnsi="Times New Roman" w:cs="Times New Roman"/>
          <w:sz w:val="24"/>
          <w:szCs w:val="24"/>
        </w:rPr>
        <w:t>eir confidence intervals (Fig. 5</w:t>
      </w:r>
      <w:r w:rsidR="00B031BE">
        <w:rPr>
          <w:rFonts w:ascii="Times New Roman" w:eastAsia="Times New Roman" w:hAnsi="Times New Roman" w:cs="Times New Roman"/>
          <w:sz w:val="24"/>
          <w:szCs w:val="24"/>
        </w:rPr>
        <w:t xml:space="preserve">). The previously described relationship between FPR and the number of populations affected by the demographic event also changed for moderate scenarios in distant second samplings with M2 displaying higher values than M3, on average (Fig. </w:t>
      </w:r>
      <w:r w:rsidR="004E072F">
        <w:rPr>
          <w:rFonts w:ascii="Times New Roman" w:eastAsia="Times New Roman" w:hAnsi="Times New Roman" w:cs="Times New Roman"/>
          <w:sz w:val="24"/>
          <w:szCs w:val="24"/>
        </w:rPr>
        <w:t>5</w:t>
      </w:r>
      <w:r w:rsidR="00B031BE">
        <w:rPr>
          <w:rFonts w:ascii="Times New Roman" w:eastAsia="Times New Roman" w:hAnsi="Times New Roman" w:cs="Times New Roman"/>
          <w:sz w:val="24"/>
          <w:szCs w:val="24"/>
        </w:rPr>
        <w:t>).</w:t>
      </w:r>
      <w:r w:rsidR="00ED5A15">
        <w:rPr>
          <w:rFonts w:ascii="Times New Roman" w:eastAsia="Times New Roman" w:hAnsi="Times New Roman" w:cs="Times New Roman"/>
          <w:sz w:val="24"/>
          <w:szCs w:val="24"/>
        </w:rPr>
        <w:t xml:space="preserve"> Apart for high dispersal scenarios, FPR changed sharply for time lags of 4 years </w:t>
      </w:r>
      <w:r w:rsidR="00ED5A15">
        <w:rPr>
          <w:rFonts w:ascii="Times New Roman" w:eastAsia="Times New Roman" w:hAnsi="Times New Roman" w:cs="Times New Roman"/>
          <w:sz w:val="24"/>
          <w:szCs w:val="24"/>
        </w:rPr>
        <w:lastRenderedPageBreak/>
        <w:t>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w:t>
      </w:r>
      <w:r w:rsidR="004E072F">
        <w:rPr>
          <w:rFonts w:ascii="Times New Roman" w:eastAsia="Times New Roman" w:hAnsi="Times New Roman" w:cs="Times New Roman"/>
          <w:sz w:val="24"/>
          <w:szCs w:val="24"/>
        </w:rPr>
        <w:t xml:space="preserve"> (Fig. 5</w:t>
      </w:r>
      <w:r w:rsidR="00ED5A15">
        <w:rPr>
          <w:rFonts w:ascii="Times New Roman" w:eastAsia="Times New Roman" w:hAnsi="Times New Roman" w:cs="Times New Roman"/>
          <w:sz w:val="24"/>
          <w:szCs w:val="24"/>
        </w:rPr>
        <w:t>), and generally became higher than 50%, one false positive for each true positive, after 5 years.</w:t>
      </w:r>
    </w:p>
    <w:p w14:paraId="1D8D78E9" w14:textId="6ACB1B8B" w:rsidR="004E072F" w:rsidRDefault="00A239B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Regarding FNR, there is</w:t>
      </w:r>
      <w:r w:rsidR="00FA090A">
        <w:rPr>
          <w:rFonts w:ascii="Times New Roman" w:eastAsia="Times New Roman" w:hAnsi="Times New Roman" w:cs="Times New Roman"/>
          <w:sz w:val="24"/>
          <w:szCs w:val="24"/>
        </w:rPr>
        <w:t xml:space="preserve"> one major difference compared to FPR</w:t>
      </w:r>
      <w:r>
        <w:rPr>
          <w:rFonts w:ascii="Times New Roman" w:eastAsia="Times New Roman" w:hAnsi="Times New Roman" w:cs="Times New Roman"/>
          <w:sz w:val="24"/>
          <w:szCs w:val="24"/>
        </w:rPr>
        <w:t xml:space="preserve">, besides the opposite effects of dispersal and the number of affected populations: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 xml:space="preserve">is not symmetric in that the </w:t>
      </w:r>
      <w:r>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a sampling conducted before the event matters much less 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9F38AB">
        <w:rPr>
          <w:rFonts w:ascii="Times New Roman" w:eastAsia="Times New Roman" w:hAnsi="Times New Roman" w:cs="Times New Roman"/>
          <w:sz w:val="24"/>
          <w:szCs w:val="24"/>
        </w:rPr>
        <w:t>,</w:t>
      </w:r>
      <w:r w:rsidR="00167AEB">
        <w:rPr>
          <w:rFonts w:ascii="Times New Roman" w:eastAsia="Times New Roman" w:hAnsi="Times New Roman" w:cs="Times New Roman"/>
          <w:sz w:val="24"/>
          <w:szCs w:val="24"/>
        </w:rPr>
        <w:t xml:space="preserve"> 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The FNR became prohibitive 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 xml:space="preserve">after the event </w:t>
      </w:r>
      <w:r w:rsidR="004E072F">
        <w:rPr>
          <w:rFonts w:ascii="Times New Roman" w:eastAsia="Times New Roman" w:hAnsi="Times New Roman" w:cs="Times New Roman"/>
          <w:sz w:val="24"/>
          <w:szCs w:val="24"/>
        </w:rPr>
        <w:t>(Fig .4</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reaching 25% in the scope of our analyses, even after 9 years (Fig. 4). The increase of FNR with time lag for the prior sampling was weaker than that for the posterior sampling for moderate dispersal scenarios and was similar for low dispersal scenarios (Fig .4).</w:t>
      </w:r>
    </w:p>
    <w:p w14:paraId="329E398D" w14:textId="77BB3784"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average FPR sharply increased, reached</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 for</w:t>
      </w:r>
      <w:r>
        <w:rPr>
          <w:rFonts w:ascii="Times New Roman" w:eastAsia="Times New Roman" w:hAnsi="Times New Roman" w:cs="Times New Roman"/>
          <w:sz w:val="24"/>
          <w:szCs w:val="24"/>
        </w:rPr>
        <w:t xml:space="preserve"> each parameter we considered, we believe that the parameters we chose to define different scenarios produced sufficiently complex, and useful simulations.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9ADAE03" w14:textId="77777777" w:rsidR="00074D7C" w:rsidRDefault="00074D7C" w:rsidP="00A51948">
      <w:pPr>
        <w:spacing w:before="240" w:after="240" w:line="480" w:lineRule="auto"/>
        <w:rPr>
          <w:rFonts w:ascii="Times New Roman" w:eastAsia="Times New Roman" w:hAnsi="Times New Roman" w:cs="Times New Roman"/>
          <w:sz w:val="24"/>
          <w:szCs w:val="24"/>
        </w:rPr>
      </w:pPr>
    </w:p>
    <w:p w14:paraId="71E43ED0" w14:textId="65C43125" w:rsidR="00795488" w:rsidRDefault="009A0A45" w:rsidP="00A51948">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64384" behindDoc="0" locked="0" layoutInCell="1" allowOverlap="1" wp14:anchorId="085CB3B1" wp14:editId="263EF649">
                <wp:simplePos x="0" y="0"/>
                <wp:positionH relativeFrom="column">
                  <wp:posOffset>2581275</wp:posOffset>
                </wp:positionH>
                <wp:positionV relativeFrom="paragraph">
                  <wp:posOffset>4772025</wp:posOffset>
                </wp:positionV>
                <wp:extent cx="2228850" cy="140462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noFill/>
                          <a:miter lim="800000"/>
                          <a:headEnd/>
                          <a:tailEnd/>
                        </a:ln>
                      </wps:spPr>
                      <wps:txbx>
                        <w:txbxContent>
                          <w:p w14:paraId="36B8D602" w14:textId="6CAB340B" w:rsidR="00EA64AE"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EA64AE" w:rsidRPr="009A0A45"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CB3B1" id="_x0000_t202" coordsize="21600,21600" o:spt="202" path="m,l,21600r21600,l21600,xe">
                <v:stroke joinstyle="miter"/>
                <v:path gradientshapeok="t" o:connecttype="rect"/>
              </v:shapetype>
              <v:shape id="Zone de texte 2" o:spid="_x0000_s1026" type="#_x0000_t202" style="position:absolute;margin-left:203.25pt;margin-top:375.75pt;width:175.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" stroked="f">
                <v:textbox style="mso-fit-shape-to-text:t">
                  <w:txbxContent>
                    <w:p w14:paraId="36B8D602" w14:textId="6CAB340B" w:rsidR="00EA64AE"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EA64AE" w:rsidRPr="009A0A45"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57216" behindDoc="0" locked="0" layoutInCell="1" allowOverlap="1" wp14:anchorId="3264FFD2" wp14:editId="1C0EDB83">
                <wp:simplePos x="0" y="0"/>
                <wp:positionH relativeFrom="column">
                  <wp:posOffset>409575</wp:posOffset>
                </wp:positionH>
                <wp:positionV relativeFrom="paragraph">
                  <wp:posOffset>4772025</wp:posOffset>
                </wp:positionV>
                <wp:extent cx="2133600" cy="140462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0FD2F32A" w14:textId="59661846" w:rsidR="00EA64AE"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EA64AE" w:rsidRPr="009A0A45"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4FFD2" id="_x0000_s1027" type="#_x0000_t202" style="position:absolute;margin-left:32.25pt;margin-top:375.75pt;width:16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" stroked="f">
                <v:textbox style="mso-fit-shape-to-text:t">
                  <w:txbxContent>
                    <w:p w14:paraId="0FD2F32A" w14:textId="59661846" w:rsidR="00EA64AE"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EA64AE" w:rsidRPr="009A0A45"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9024" behindDoc="0" locked="0" layoutInCell="1" allowOverlap="1" wp14:anchorId="61E00FB1" wp14:editId="79C5034A">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5456E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2880" behindDoc="0" locked="0" layoutInCell="1" allowOverlap="1" wp14:anchorId="16A8C1FE" wp14:editId="585CCD46">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E85043" id="Double flèche horizontale 18" o:spid="_x0000_s1026" type="#_x0000_t69" style="position:absolute;margin-left:32.25pt;margin-top:363pt;width:165pt;height:7.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5487717C" wp14:editId="4EED3AD6">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B67E30" w14:textId="1FDA858C" w:rsidR="009A0A45" w:rsidRDefault="009A0A45" w:rsidP="009A0A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4F8A992" w14:textId="77777777" w:rsidR="009A0A45" w:rsidRPr="009A0A45" w:rsidRDefault="009A0A45" w:rsidP="00A51948">
      <w:pPr>
        <w:spacing w:before="240" w:after="240" w:line="480" w:lineRule="auto"/>
        <w:rPr>
          <w:rFonts w:ascii="Times New Roman" w:eastAsia="Times New Roman" w:hAnsi="Times New Roman" w:cs="Times New Roman"/>
          <w:sz w:val="24"/>
          <w:szCs w:val="24"/>
        </w:rPr>
      </w:pPr>
    </w:p>
    <w:p w14:paraId="76FC40AD" w14:textId="273DC2E0" w:rsidR="00AB4F71" w:rsidRDefault="00617696"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sidR="009A0A45">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141A94AB" w14:textId="592B8E3B" w:rsidR="00026783" w:rsidRDefault="00026783" w:rsidP="00A51948">
      <w:pPr>
        <w:spacing w:before="240" w:after="240" w:line="480" w:lineRule="auto"/>
        <w:rPr>
          <w:rFonts w:ascii="Times New Roman" w:eastAsia="Times New Roman" w:hAnsi="Times New Roman" w:cs="Times New Roman"/>
          <w:sz w:val="24"/>
          <w:szCs w:val="24"/>
        </w:rPr>
      </w:pPr>
    </w:p>
    <w:p w14:paraId="5D83D964" w14:textId="0C8717BF" w:rsidR="00A020EA" w:rsidRDefault="00A020EA" w:rsidP="00A51948">
      <w:pPr>
        <w:spacing w:before="240" w:after="240" w:line="480" w:lineRule="auto"/>
        <w:rPr>
          <w:rFonts w:ascii="Times New Roman" w:eastAsia="Times New Roman" w:hAnsi="Times New Roman" w:cs="Times New Roman"/>
          <w:sz w:val="24"/>
          <w:szCs w:val="24"/>
        </w:rPr>
      </w:pP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57A8A91D" w14:textId="77777777" w:rsidR="00E64624" w:rsidRDefault="00E64624" w:rsidP="00611155">
      <w:pPr>
        <w:spacing w:before="240" w:after="240" w:line="480" w:lineRule="auto"/>
        <w:rPr>
          <w:rFonts w:ascii="Times New Roman" w:eastAsia="Times New Roman" w:hAnsi="Times New Roman" w:cs="Times New Roman"/>
          <w:b/>
          <w:sz w:val="24"/>
          <w:szCs w:val="24"/>
        </w:rPr>
      </w:pPr>
    </w:p>
    <w:p w14:paraId="70030C7F" w14:textId="717BCB6C" w:rsidR="00E64624" w:rsidRDefault="00E64624" w:rsidP="00611155">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432E408" wp14:editId="6C3A88E1">
                <wp:simplePos x="0" y="0"/>
                <wp:positionH relativeFrom="column">
                  <wp:posOffset>2552699</wp:posOffset>
                </wp:positionH>
                <wp:positionV relativeFrom="paragraph">
                  <wp:posOffset>4600575</wp:posOffset>
                </wp:positionV>
                <wp:extent cx="2219325" cy="140462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4620"/>
                        </a:xfrm>
                        <a:prstGeom prst="rect">
                          <a:avLst/>
                        </a:prstGeom>
                        <a:solidFill>
                          <a:srgbClr val="FFFFFF"/>
                        </a:solidFill>
                        <a:ln w="9525">
                          <a:noFill/>
                          <a:miter lim="800000"/>
                          <a:headEnd/>
                          <a:tailEnd/>
                        </a:ln>
                      </wps:spPr>
                      <wps:txbx>
                        <w:txbxContent>
                          <w:p w14:paraId="379B9A49" w14:textId="7400DA83" w:rsidR="00EA64AE"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EA64AE" w:rsidRPr="009A0A45"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E408" id="_x0000_s1028" type="#_x0000_t202" style="position:absolute;margin-left:201pt;margin-top:362.25pt;width:174.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" stroked="f">
                <v:textbox style="mso-fit-shape-to-text:t">
                  <w:txbxContent>
                    <w:p w14:paraId="379B9A49" w14:textId="7400DA83" w:rsidR="00EA64AE"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EA64AE" w:rsidRPr="009A0A45"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1C00DF35" wp14:editId="2E5BC427">
                <wp:simplePos x="0" y="0"/>
                <wp:positionH relativeFrom="column">
                  <wp:posOffset>381000</wp:posOffset>
                </wp:positionH>
                <wp:positionV relativeFrom="paragraph">
                  <wp:posOffset>4601845</wp:posOffset>
                </wp:positionV>
                <wp:extent cx="2133600" cy="140462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41381695" w14:textId="59C5C118" w:rsidR="00EA64AE"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EA64AE" w:rsidRPr="009A0A45"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0DF35" id="_x0000_s1029" type="#_x0000_t202" style="position:absolute;margin-left:30pt;margin-top:362.35pt;width:16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" stroked="f">
                <v:textbox style="mso-fit-shape-to-text:t">
                  <w:txbxContent>
                    <w:p w14:paraId="41381695" w14:textId="59C5C118" w:rsidR="00EA64AE"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EA64AE" w:rsidRPr="009A0A45"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678124A" wp14:editId="0F4C21D6">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B8F30A" id="Double flèche horizontale 24" o:spid="_x0000_s1026" type="#_x0000_t69" style="position:absolute;margin-left:201pt;margin-top:351.5pt;width:165pt;height: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FFCA1BD" wp14:editId="76BAD8FE">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DEC2D8" id="Double flèche horizontale 23" o:spid="_x0000_s1026" type="#_x0000_t69" style="position:absolute;margin-left:30pt;margin-top:351.25pt;width:16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7470CAD4" wp14:editId="792388B3">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495F04" w14:textId="10F42AD0" w:rsidR="00E64624" w:rsidRDefault="00E64624" w:rsidP="00611155">
      <w:pPr>
        <w:spacing w:before="240" w:after="240" w:line="480" w:lineRule="auto"/>
        <w:rPr>
          <w:rFonts w:ascii="Times New Roman" w:eastAsia="Times New Roman" w:hAnsi="Times New Roman" w:cs="Times New Roman"/>
          <w:b/>
          <w:sz w:val="24"/>
          <w:szCs w:val="24"/>
        </w:rPr>
      </w:pPr>
    </w:p>
    <w:p w14:paraId="258CCA9C" w14:textId="3617C530" w:rsidR="00AB4F71" w:rsidRDefault="00E64624"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w:t>
      </w:r>
      <w:r w:rsidR="00611155">
        <w:rPr>
          <w:rFonts w:ascii="Times New Roman" w:eastAsia="Times New Roman" w:hAnsi="Times New Roman" w:cs="Times New Roman"/>
          <w:sz w:val="24"/>
          <w:szCs w:val="24"/>
        </w:rPr>
        <w:t>. FPR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0999E60E" w14:textId="77777777" w:rsidR="00171B72" w:rsidRDefault="00171B72" w:rsidP="00A51948">
      <w:pPr>
        <w:spacing w:before="240" w:after="240" w:line="480" w:lineRule="auto"/>
        <w:rPr>
          <w:rFonts w:ascii="Times New Roman" w:eastAsia="Times New Roman" w:hAnsi="Times New Roman" w:cs="Times New Roman"/>
          <w:i/>
          <w:sz w:val="24"/>
          <w:szCs w:val="24"/>
        </w:rPr>
      </w:pPr>
    </w:p>
    <w:p w14:paraId="43930590" w14:textId="091BC67A"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Control</w:t>
      </w:r>
      <w:r w:rsidR="00B441F7" w:rsidRPr="0007763B">
        <w:rPr>
          <w:rFonts w:ascii="Times New Roman" w:eastAsia="Times New Roman" w:hAnsi="Times New Roman" w:cs="Times New Roman"/>
          <w:i/>
          <w:sz w:val="24"/>
          <w:szCs w:val="24"/>
        </w:rPr>
        <w:t xml:space="preserve"> simulations</w:t>
      </w:r>
    </w:p>
    <w:p w14:paraId="6DA5C5C0" w14:textId="445F7379" w:rsidR="001E58E9" w:rsidRPr="0007763B" w:rsidRDefault="00A30430"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B9640C">
        <w:rPr>
          <w:rFonts w:ascii="Times New Roman" w:eastAsia="Times New Roman" w:hAnsi="Times New Roman" w:cs="Times New Roman"/>
          <w:sz w:val="24"/>
          <w:szCs w:val="24"/>
        </w:rPr>
        <w:t>, which performance according to their dispersal parameters, followed the same order as experimental FPR values</w:t>
      </w:r>
      <w:r w:rsidR="002377D0">
        <w:rPr>
          <w:rFonts w:ascii="Times New Roman" w:eastAsia="Times New Roman" w:hAnsi="Times New Roman" w:cs="Times New Roman"/>
          <w:sz w:val="24"/>
          <w:szCs w:val="24"/>
        </w:rPr>
        <w:t xml:space="preserve"> (Fig.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wrongfully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 xml:space="preserve">a population as having been affected. </w:t>
      </w:r>
      <w:r w:rsidR="00130BC1" w:rsidRPr="0007763B">
        <w:rPr>
          <w:rFonts w:ascii="Times New Roman" w:eastAsia="Times New Roman" w:hAnsi="Times New Roman" w:cs="Times New Roman"/>
          <w:sz w:val="24"/>
          <w:szCs w:val="24"/>
        </w:rPr>
        <w:t>Finally, control FPR</w:t>
      </w:r>
      <w:r w:rsidR="002377D0">
        <w:rPr>
          <w:rFonts w:ascii="Times New Roman" w:eastAsia="Times New Roman" w:hAnsi="Times New Roman" w:cs="Times New Roman"/>
          <w:sz w:val="24"/>
          <w:szCs w:val="24"/>
        </w:rPr>
        <w:t xml:space="preserve"> values for scenarios with low dispersal reached a high value</w:t>
      </w:r>
      <w:r w:rsidR="00130BC1" w:rsidRPr="0007763B">
        <w:rPr>
          <w:rFonts w:ascii="Times New Roman" w:eastAsia="Times New Roman" w:hAnsi="Times New Roman" w:cs="Times New Roman"/>
          <w:sz w:val="24"/>
          <w:szCs w:val="24"/>
        </w:rPr>
        <w:t>, which was</w:t>
      </w:r>
      <w:r w:rsidR="002377D0">
        <w:rPr>
          <w:rFonts w:ascii="Times New Roman" w:eastAsia="Times New Roman" w:hAnsi="Times New Roman" w:cs="Times New Roman"/>
          <w:sz w:val="24"/>
          <w:szCs w:val="24"/>
        </w:rPr>
        <w:t xml:space="preserve"> about twice as high as the maximum experimental FPR values (L1)</w:t>
      </w:r>
      <w:r w:rsidR="00130BC1" w:rsidRPr="0007763B">
        <w:rPr>
          <w:rFonts w:ascii="Times New Roman" w:eastAsia="Times New Roman" w:hAnsi="Times New Roman" w:cs="Times New Roman"/>
          <w:sz w:val="24"/>
          <w:szCs w:val="24"/>
        </w:rPr>
        <w:t>.</w:t>
      </w: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C69309A" w14:textId="644DB3DE" w:rsidR="004176BF" w:rsidRPr="00635AF6" w:rsidRDefault="00FF2602" w:rsidP="00FF2602">
      <w:pPr>
        <w:spacing w:before="240" w:after="240" w:line="480" w:lineRule="auto"/>
        <w:rPr>
          <w:rFonts w:ascii="Times New Roman" w:eastAsia="Times New Roman" w:hAnsi="Times New Roman" w:cs="Times New Roman"/>
          <w:b/>
          <w:sz w:val="24"/>
          <w:szCs w:val="24"/>
        </w:rPr>
      </w:pPr>
      <w:r w:rsidRPr="00FF2602">
        <w:rPr>
          <w:rFonts w:ascii="Times New Roman" w:eastAsia="Times New Roman" w:hAnsi="Times New Roman" w:cs="Times New Roman"/>
          <w:color w:val="000000" w:themeColor="text1"/>
          <w:sz w:val="24"/>
          <w:szCs w:val="24"/>
        </w:rPr>
        <w:t>In many wildlife management projects, researchers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themeColor="text1"/>
          <w:sz w:val="24"/>
          <w:szCs w:val="24"/>
        </w:rPr>
        <w:t>may bring crucial information on the decision table by comparing the genetic information sampled in several population</w:t>
      </w:r>
      <w:r w:rsidR="00266374">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 throughout the landscape at two different survey dates. Indeed, m</w:t>
      </w:r>
      <w:r>
        <w:rPr>
          <w:rFonts w:ascii="Times New Roman" w:eastAsia="Times New Roman" w:hAnsi="Times New Roman" w:cs="Times New Roman"/>
          <w:sz w:val="24"/>
          <w:szCs w:val="24"/>
        </w:rPr>
        <w:t>anagers would often need to know where in the landscape have there been an exceptional change in genetic diversity, as such a change would hint at a past demographic event, which could be detrimental (</w:t>
      </w:r>
      <w:r w:rsidR="000B078B">
        <w:rPr>
          <w:rFonts w:ascii="Times New Roman" w:eastAsia="Times New Roman" w:hAnsi="Times New Roman" w:cs="Times New Roman"/>
          <w:i/>
          <w:sz w:val="24"/>
          <w:szCs w:val="24"/>
        </w:rPr>
        <w:t xml:space="preserve">e.g. </w:t>
      </w:r>
      <w:r>
        <w:rPr>
          <w:rFonts w:ascii="Times New Roman" w:eastAsia="Times New Roman" w:hAnsi="Times New Roman" w:cs="Times New Roman"/>
          <w:sz w:val="24"/>
          <w:szCs w:val="24"/>
        </w:rPr>
        <w:t>loss of diversity, maladaptation) or beneficial (</w:t>
      </w:r>
      <w:r w:rsidR="000B078B">
        <w:rPr>
          <w:rFonts w:ascii="Times New Roman" w:eastAsia="Times New Roman" w:hAnsi="Times New Roman" w:cs="Times New Roman"/>
          <w:i/>
          <w:sz w:val="24"/>
          <w:szCs w:val="24"/>
        </w:rPr>
        <w:t xml:space="preserve">e.g. </w:t>
      </w:r>
      <w:r w:rsidR="000B078B">
        <w:rPr>
          <w:rFonts w:ascii="Times New Roman" w:eastAsia="Times New Roman" w:hAnsi="Times New Roman" w:cs="Times New Roman"/>
          <w:sz w:val="24"/>
          <w:szCs w:val="24"/>
        </w:rPr>
        <w:t xml:space="preserve">higher effective population size, </w:t>
      </w:r>
      <w:r>
        <w:rPr>
          <w:rFonts w:ascii="Times New Roman" w:eastAsia="Times New Roman" w:hAnsi="Times New Roman" w:cs="Times New Roman"/>
          <w:sz w:val="24"/>
          <w:szCs w:val="24"/>
        </w:rPr>
        <w:t>genetic rescue</w:t>
      </w:r>
      <w:r w:rsidR="000B078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FF2602">
        <w:rPr>
          <w:rFonts w:ascii="Times New Roman" w:eastAsia="Times New Roman" w:hAnsi="Times New Roman" w:cs="Times New Roman"/>
          <w:sz w:val="24"/>
          <w:szCs w:val="24"/>
        </w:rPr>
        <w:t xml:space="preserve"> </w:t>
      </w:r>
      <w:r w:rsidR="000B078B">
        <w:rPr>
          <w:rFonts w:ascii="Times New Roman" w:eastAsia="Times New Roman" w:hAnsi="Times New Roman" w:cs="Times New Roman"/>
          <w:sz w:val="24"/>
          <w:szCs w:val="24"/>
        </w:rPr>
        <w:t>Of course, such a change in one or more populations would warrant higher monitoring and an investigation about the origin of the change.</w:t>
      </w:r>
      <w:r w:rsidRPr="00FF2602">
        <w:rPr>
          <w:rFonts w:ascii="Times New Roman" w:eastAsia="Times New Roman" w:hAnsi="Times New Roman" w:cs="Times New Roman"/>
          <w:sz w:val="24"/>
          <w:szCs w:val="24"/>
        </w:rPr>
        <w:t xml:space="preserve"> </w:t>
      </w:r>
      <w:r w:rsidR="003F2FF1">
        <w:rPr>
          <w:rFonts w:ascii="Times New Roman" w:eastAsia="Times New Roman" w:hAnsi="Times New Roman" w:cs="Times New Roman"/>
          <w:sz w:val="24"/>
          <w:szCs w:val="24"/>
        </w:rPr>
        <w:t>Detecting</w:t>
      </w:r>
      <w:r w:rsidR="004176BF" w:rsidRPr="004176BF">
        <w:rPr>
          <w:rFonts w:ascii="Times New Roman" w:eastAsia="Times New Roman" w:hAnsi="Times New Roman" w:cs="Times New Roman"/>
          <w:sz w:val="24"/>
          <w:szCs w:val="24"/>
        </w:rPr>
        <w:t xml:space="preserve"> which populations have changed significantly over time, from genetic data, has always been a challenge for researchers. When genetic data is available at several points in time, we believe the aforementioned challenge is within reach for biologists, even if g</w:t>
      </w:r>
      <w:r w:rsidR="007D5A56">
        <w:rPr>
          <w:rFonts w:ascii="Times New Roman" w:eastAsia="Times New Roman" w:hAnsi="Times New Roman" w:cs="Times New Roman"/>
          <w:sz w:val="24"/>
          <w:szCs w:val="24"/>
        </w:rPr>
        <w:t>iven genetic datasets with</w:t>
      </w:r>
      <w:r w:rsidR="004176BF" w:rsidRPr="004176BF">
        <w:rPr>
          <w:rFonts w:ascii="Times New Roman" w:eastAsia="Times New Roman" w:hAnsi="Times New Roman" w:cs="Times New Roman"/>
          <w:sz w:val="24"/>
          <w:szCs w:val="24"/>
        </w:rPr>
        <w:t xml:space="preserve"> limited genomic information (</w:t>
      </w:r>
      <w:r w:rsidR="004176BF" w:rsidRPr="004176BF">
        <w:rPr>
          <w:rFonts w:ascii="Times New Roman" w:eastAsia="Times New Roman" w:hAnsi="Times New Roman" w:cs="Times New Roman"/>
          <w:i/>
          <w:sz w:val="24"/>
          <w:szCs w:val="24"/>
        </w:rPr>
        <w:t xml:space="preserve">e.g. </w:t>
      </w:r>
      <w:r w:rsidR="004176BF" w:rsidRPr="004176BF">
        <w:rPr>
          <w:rFonts w:ascii="Times New Roman" w:eastAsia="Times New Roman" w:hAnsi="Times New Roman" w:cs="Times New Roman"/>
          <w:sz w:val="24"/>
          <w:szCs w:val="24"/>
        </w:rPr>
        <w:t>hundreds of SNPs)</w:t>
      </w:r>
      <w:r w:rsidR="00266374">
        <w:rPr>
          <w:rFonts w:ascii="Times New Roman" w:eastAsia="Times New Roman" w:hAnsi="Times New Roman" w:cs="Times New Roman"/>
          <w:sz w:val="24"/>
          <w:szCs w:val="24"/>
        </w:rPr>
        <w:t>,</w:t>
      </w:r>
      <w:r w:rsidR="004176BF" w:rsidRPr="004176BF">
        <w:rPr>
          <w:rFonts w:ascii="Times New Roman" w:eastAsia="Times New Roman" w:hAnsi="Times New Roman" w:cs="Times New Roman"/>
          <w:sz w:val="24"/>
          <w:szCs w:val="24"/>
        </w:rPr>
        <w:t xml:space="preserve"> as is common when first sequencing new non-model organisms. Indeed, our permutation approach was generally able to achieve this goal, under certain conditions.</w:t>
      </w:r>
    </w:p>
    <w:p w14:paraId="7856901C" w14:textId="14FD9323" w:rsidR="004B7793" w:rsidRPr="00E91D97" w:rsidRDefault="00E91D97" w:rsidP="00E91D9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populations which underwent significant changes, using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permutation-based testing procedure, TGI, we described</w:t>
      </w:r>
      <w:r>
        <w:rPr>
          <w:rFonts w:ascii="Times New Roman" w:eastAsia="Times New Roman" w:hAnsi="Times New Roman" w:cs="Times New Roman"/>
          <w:sz w:val="24"/>
          <w:szCs w:val="24"/>
        </w:rPr>
        <w:t>. We used a</w:t>
      </w:r>
      <w:r w:rsidRPr="00E91D97">
        <w:rPr>
          <w:rFonts w:ascii="Times New Roman" w:eastAsia="Times New Roman" w:hAnsi="Times New Roman" w:cs="Times New Roman"/>
          <w:sz w:val="24"/>
          <w:szCs w:val="24"/>
        </w:rPr>
        <w:t xml:space="preserve"> spatially-explicit gene flow simulation software </w:t>
      </w:r>
      <w:r w:rsidR="003F6100">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to model the effect of a punctual and atypical demographic event on one to three populations within a larger landscape of connected populations bearing more than a thousand individuals.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aimed to evaluate how often TGI would fail to identify populations that truly experienced exceptional genetic change</w:t>
      </w:r>
      <w:r w:rsidR="0039025A">
        <w:rPr>
          <w:rFonts w:ascii="Times New Roman" w:eastAsia="Times New Roman" w:hAnsi="Times New Roman" w:cs="Times New Roman"/>
          <w:sz w:val="24"/>
          <w:szCs w:val="24"/>
        </w:rPr>
        <w:t>, under different dispersal, event spatial extent,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etect exceptional temporal changes in genetic diversity using limited information</w:t>
      </w:r>
      <w:r w:rsidR="00795844">
        <w:rPr>
          <w:rFonts w:ascii="Times New Roman" w:eastAsia="Times New Roman" w:hAnsi="Times New Roman" w:cs="Times New Roman"/>
          <w:sz w:val="24"/>
          <w:szCs w:val="24"/>
        </w:rPr>
        <w:t>. Beyond the introduction to our new approach and a test of its performance</w:t>
      </w:r>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ould serve as a guide on how to use it alongside simulations</w:t>
      </w:r>
      <w:r w:rsidR="008A0CE4">
        <w:rPr>
          <w:rFonts w:ascii="Times New Roman" w:eastAsia="Times New Roman" w:hAnsi="Times New Roman" w:cs="Times New Roman"/>
          <w:sz w:val="24"/>
          <w:szCs w:val="24"/>
        </w:rPr>
        <w:t>, for evaluate the information loss cost of different sampling schemes.</w:t>
      </w:r>
    </w:p>
    <w:p w14:paraId="0921A734" w14:textId="0DEEBCD2" w:rsidR="004960F6" w:rsidRDefault="00425BB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exceptional 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we found</w:t>
      </w:r>
      <w:r w:rsidR="00522BA6">
        <w:rPr>
          <w:rFonts w:ascii="Times New Roman" w:eastAsia="Times New Roman" w:hAnsi="Times New Roman" w:cs="Times New Roman"/>
          <w:sz w:val="24"/>
          <w:szCs w:val="24"/>
        </w:rPr>
        <w:t xml:space="preserve"> that false negatives increased with dispersal ability, while false positives increased</w:t>
      </w:r>
      <w:r w:rsidR="00BD57C8">
        <w:rPr>
          <w:rFonts w:ascii="Times New Roman" w:eastAsia="Times New Roman" w:hAnsi="Times New Roman" w:cs="Times New Roman"/>
          <w:sz w:val="24"/>
          <w:szCs w:val="24"/>
        </w:rPr>
        <w:t xml:space="preserve"> (Fig. 2,3)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wrong populations and avoiding the rejection of the right population(s).</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 xml:space="preserve">trade-off in performance according to dispersal ability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and is made worse with time (Fig.4, 5)</w:t>
      </w:r>
      <w:r w:rsidR="009D33D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ensure they have detected the right population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little 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w:t>
      </w:r>
      <w:r w:rsidR="005E309B">
        <w:rPr>
          <w:rFonts w:ascii="Times New Roman" w:eastAsia="Times New Roman" w:hAnsi="Times New Roman" w:cs="Times New Roman"/>
          <w:sz w:val="24"/>
          <w:szCs w:val="24"/>
        </w:rPr>
        <w:lastRenderedPageBreak/>
        <w:t>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7F3F9B94" w:rsidR="00C519A3" w:rsidRDefault="00DE3FE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which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r w:rsidR="00B32337">
        <w:rPr>
          <w:rFonts w:ascii="Times New Roman" w:eastAsia="Times New Roman" w:hAnsi="Times New Roman" w:cs="Times New Roman"/>
          <w:sz w:val="24"/>
          <w:szCs w:val="24"/>
        </w:rPr>
        <w:t>which have 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This trade-off is apparent for all scenarios but whether it is substantial depends on the dispersal level within the landscape. Indeed, the number of populations affected by the punctual demographic event greatly influenced the FPR in low dispersal landscape</w:t>
      </w:r>
      <w:r w:rsidR="00F14791">
        <w:rPr>
          <w:rFonts w:ascii="Times New Roman" w:eastAsia="Times New Roman" w:hAnsi="Times New Roman" w:cs="Times New Roman"/>
          <w:sz w:val="24"/>
          <w:szCs w:val="24"/>
        </w:rPr>
        <w:t>s</w:t>
      </w:r>
      <w:r w:rsidR="00B11125">
        <w:rPr>
          <w:rFonts w:ascii="Times New Roman" w:eastAsia="Times New Roman" w:hAnsi="Times New Roman" w:cs="Times New Roman"/>
          <w:sz w:val="24"/>
          <w:szCs w:val="24"/>
        </w:rPr>
        <w:t xml:space="preserve"> and greatly influenced the FNR in high dispersal landscape</w:t>
      </w:r>
      <w:r w:rsidR="00F14791">
        <w:rPr>
          <w:rFonts w:ascii="Times New Roman" w:eastAsia="Times New Roman" w:hAnsi="Times New Roman" w:cs="Times New Roman"/>
          <w:sz w:val="24"/>
          <w:szCs w:val="24"/>
        </w:rPr>
        <w:t>s</w:t>
      </w:r>
      <w:r w:rsidR="00B11125">
        <w:rPr>
          <w:rFonts w:ascii="Times New Roman" w:eastAsia="Times New Roman" w:hAnsi="Times New Roman" w:cs="Times New Roman"/>
          <w:sz w:val="24"/>
          <w:szCs w:val="24"/>
        </w:rPr>
        <w:t>.</w:t>
      </w:r>
      <w:r w:rsidR="00F131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 xml:space="preserve">it also increased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We targeted adjacent populations with the punctual demographic event and 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13FA41AA" w:rsidR="003B771C" w:rsidRDefault="0025376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expected, d</w:t>
      </w:r>
      <w:r w:rsidR="003B771C" w:rsidRPr="0007763B">
        <w:rPr>
          <w:rFonts w:ascii="Times New Roman" w:eastAsia="Times New Roman" w:hAnsi="Times New Roman" w:cs="Times New Roman"/>
          <w:sz w:val="24"/>
          <w:szCs w:val="24"/>
        </w:rPr>
        <w:t xml:space="preserve">emographic processes </w:t>
      </w:r>
      <w:r>
        <w:rPr>
          <w:rFonts w:ascii="Times New Roman" w:eastAsia="Times New Roman" w:hAnsi="Times New Roman" w:cs="Times New Roman"/>
          <w:sz w:val="24"/>
          <w:szCs w:val="24"/>
        </w:rPr>
        <w:t xml:space="preserve">generally </w:t>
      </w:r>
      <w:r w:rsidR="003B771C" w:rsidRPr="0007763B">
        <w:rPr>
          <w:rFonts w:ascii="Times New Roman" w:eastAsia="Times New Roman" w:hAnsi="Times New Roman" w:cs="Times New Roman"/>
          <w:sz w:val="24"/>
          <w:szCs w:val="24"/>
        </w:rPr>
        <w:t>dilut</w:t>
      </w:r>
      <w:r w:rsidR="00DE3FED">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sidR="00DE3FED">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sidR="00DE3FED">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sidR="00DE3FED">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r w:rsidR="00AB68BE">
        <w:rPr>
          <w:rFonts w:ascii="Times New Roman" w:eastAsia="Times New Roman" w:hAnsi="Times New Roman" w:cs="Times New Roman"/>
          <w:sz w:val="24"/>
          <w:szCs w:val="24"/>
        </w:rPr>
        <w:t xml:space="preserve"> (Fig.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of sampling to detect exceptional 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previously described double trade-off generally holds with increasing time lags around the event</w:t>
      </w:r>
      <w:r w:rsidR="00786CFE">
        <w:rPr>
          <w:rFonts w:ascii="Times New Roman" w:eastAsia="Times New Roman" w:hAnsi="Times New Roman" w:cs="Times New Roman"/>
          <w:sz w:val="24"/>
          <w:szCs w:val="24"/>
        </w:rPr>
        <w:t xml:space="preserve">, that is </w:t>
      </w:r>
      <w:r>
        <w:rPr>
          <w:rFonts w:ascii="Times New Roman" w:eastAsia="Times New Roman" w:hAnsi="Times New Roman" w:cs="Times New Roman"/>
          <w:sz w:val="24"/>
          <w:szCs w:val="24"/>
        </w:rPr>
        <w:t>an earlier first sampl</w:t>
      </w:r>
      <w:r w:rsidR="00786CFE">
        <w:rPr>
          <w:rFonts w:ascii="Times New Roman" w:eastAsia="Times New Roman" w:hAnsi="Times New Roman" w:cs="Times New Roman"/>
          <w:sz w:val="24"/>
          <w:szCs w:val="24"/>
        </w:rPr>
        <w:t>ing and a later second sampling, the timing of the first sampling is much 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 especially in high dispersal systems</w:t>
      </w:r>
      <w:r w:rsidR="00E648B6">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results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use an old sample </w:t>
      </w:r>
      <w:r w:rsidR="00EA64AE">
        <w:rPr>
          <w:rFonts w:ascii="Times New Roman" w:eastAsia="Times New Roman" w:hAnsi="Times New Roman" w:cs="Times New Roman"/>
          <w:sz w:val="24"/>
          <w:szCs w:val="24"/>
        </w:rPr>
        <w:t>to compare it to a sample made soon after an event without fear, they should not wait to sample after an event, or TBI may well become too conservative and unable to identify the right population(s).</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E648B6">
        <w:rPr>
          <w:rFonts w:ascii="Times New Roman" w:eastAsia="Times New Roman" w:hAnsi="Times New Roman" w:cs="Times New Roman"/>
          <w:sz w:val="24"/>
          <w:szCs w:val="24"/>
        </w:rPr>
        <w:t xml:space="preserve"> similar, and</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e dispersal scenarios (Fig. 5). This has serious implications as in the case the demographic parameters of their study system would be similar to our inputs, moderate dispersal</w:t>
      </w:r>
      <w:r w:rsidR="00D2058D">
        <w:rPr>
          <w:rFonts w:ascii="Times New Roman" w:eastAsia="Times New Roman" w:hAnsi="Times New Roman" w:cs="Times New Roman"/>
          <w:sz w:val="24"/>
          <w:szCs w:val="24"/>
        </w:rPr>
        <w:t>,</w:t>
      </w:r>
      <w:r w:rsidR="00E648B6">
        <w:rPr>
          <w:rFonts w:ascii="Times New Roman" w:eastAsia="Times New Roman" w:hAnsi="Times New Roman" w:cs="Times New Roman"/>
          <w:sz w:val="24"/>
          <w:szCs w:val="24"/>
        </w:rPr>
        <w:t xml:space="preserve"> for example, they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the wrong populations.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0D654BAC" w:rsidR="00390597" w:rsidRPr="00E75CDD" w:rsidRDefault="001467B2" w:rsidP="00390597">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our TGI testing procedure works</w:t>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considerations to keep in mind when using it</w:t>
      </w:r>
      <w:r w:rsidR="003E094B">
        <w:rPr>
          <w:rFonts w:ascii="Times New Roman" w:eastAsia="Times New Roman" w:hAnsi="Times New Roman" w:cs="Times New Roman"/>
          <w:sz w:val="24"/>
          <w:szCs w:val="24"/>
        </w:rPr>
        <w:t xml:space="preserve"> regardless of simulation inputs</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 xml:space="preserve">TGI can also readily be used on microsatellite data which expands its usefulness to researchers. </w:t>
      </w:r>
      <w:r w:rsidR="00390597">
        <w:rPr>
          <w:rFonts w:ascii="Times New Roman" w:eastAsia="Times New Roman" w:hAnsi="Times New Roman" w:cs="Times New Roman"/>
          <w:sz w:val="24"/>
          <w:szCs w:val="24"/>
        </w:rPr>
        <w:t xml:space="preserve">Future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3E094B">
        <w:rPr>
          <w:rFonts w:ascii="Times New Roman" w:eastAsia="Times New Roman" w:hAnsi="Times New Roman" w:cs="Times New Roman"/>
          <w:sz w:val="24"/>
          <w:szCs w:val="24"/>
        </w:rPr>
        <w:t>than we considered in this study. We believe among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and spatial heterogeneity in landscape resistance to movement.</w:t>
      </w:r>
      <w:r w:rsidR="001A5615">
        <w:rPr>
          <w:rFonts w:ascii="Times New Roman" w:eastAsia="Times New Roman" w:hAnsi="Times New Roman" w:cs="Times New Roman"/>
          <w:sz w:val="24"/>
          <w:szCs w:val="24"/>
        </w:rPr>
        <w:t xml:space="preserve"> </w:t>
      </w:r>
      <w:r w:rsidR="00635AF6">
        <w:rPr>
          <w:rFonts w:ascii="Times New Roman" w:eastAsia="Times New Roman" w:hAnsi="Times New Roman" w:cs="Times New Roman"/>
          <w:sz w:val="24"/>
          <w:szCs w:val="24"/>
        </w:rPr>
        <w:t>To be clear, although it is completely possible for casual users to run TGI on their datasets, we do encourage future users, especially those studying systems with extreme demographics parameters (</w:t>
      </w:r>
      <w:r w:rsidR="00635AF6">
        <w:rPr>
          <w:rFonts w:ascii="Times New Roman" w:eastAsia="Times New Roman" w:hAnsi="Times New Roman" w:cs="Times New Roman"/>
          <w:i/>
          <w:sz w:val="24"/>
          <w:szCs w:val="24"/>
        </w:rPr>
        <w:t xml:space="preserve">e.g. </w:t>
      </w:r>
      <w:r w:rsidR="00635AF6">
        <w:rPr>
          <w:rFonts w:ascii="Times New Roman" w:eastAsia="Times New Roman" w:hAnsi="Times New Roman" w:cs="Times New Roman"/>
          <w:sz w:val="24"/>
          <w:szCs w:val="24"/>
        </w:rPr>
        <w:t xml:space="preserve">outbreaks) to run simulations to pick the best </w:t>
      </w:r>
      <w:r w:rsidR="00635AF6">
        <w:rPr>
          <w:rFonts w:ascii="Times New Roman" w:eastAsia="Times New Roman" w:hAnsi="Times New Roman" w:cs="Times New Roman"/>
          <w:i/>
          <w:sz w:val="24"/>
          <w:szCs w:val="24"/>
        </w:rPr>
        <w:t xml:space="preserve">p-value </w:t>
      </w:r>
      <w:r w:rsidR="00635AF6">
        <w:rPr>
          <w:rFonts w:ascii="Times New Roman" w:eastAsia="Times New Roman" w:hAnsi="Times New Roman" w:cs="Times New Roman"/>
          <w:sz w:val="24"/>
          <w:szCs w:val="24"/>
        </w:rPr>
        <w:t>threshold for example.</w:t>
      </w:r>
    </w:p>
    <w:p w14:paraId="6AEF358A" w14:textId="0566B9F3" w:rsidR="00804242" w:rsidRDefault="008221A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Simulations provide a very useful tool for the planning researchers who would want to</w:t>
      </w:r>
      <w:r w:rsidR="00B63E88">
        <w:rPr>
          <w:rFonts w:ascii="Times New Roman" w:eastAsia="Times New Roman" w:hAnsi="Times New Roman" w:cs="Times New Roman"/>
          <w:sz w:val="24"/>
          <w:szCs w:val="24"/>
        </w:rPr>
        <w:t xml:space="preserve"> investigate change in their study lands</w:t>
      </w:r>
      <w:r w:rsidR="00E75CDD">
        <w:rPr>
          <w:rFonts w:ascii="Times New Roman" w:eastAsia="Times New Roman" w:hAnsi="Times New Roman" w:cs="Times New Roman"/>
          <w:sz w:val="24"/>
          <w:szCs w:val="24"/>
        </w:rPr>
        <w:t>c</w:t>
      </w:r>
      <w:r w:rsidR="00B63E88">
        <w:rPr>
          <w:rFonts w:ascii="Times New Roman" w:eastAsia="Times New Roman" w:hAnsi="Times New Roman" w:cs="Times New Roman"/>
          <w:sz w:val="24"/>
          <w:szCs w:val="24"/>
        </w:rPr>
        <w:t xml:space="preserve">ape. Simulations have been used with much success in a variety of applications </w:t>
      </w:r>
      <w:r w:rsidR="00B63E88">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B63E88" w:rsidRPr="00B63E88">
        <w:rPr>
          <w:rFonts w:ascii="Times New Roman" w:eastAsia="Times New Roman" w:hAnsi="Times New Roman" w:cs="Times New Roman"/>
          <w:noProof/>
          <w:sz w:val="24"/>
          <w:szCs w:val="24"/>
        </w:rPr>
        <w:t>(Epperson et al., 2010)</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xml:space="preserve">, from investigating a species evolutionary ecology to protect it </w:t>
      </w:r>
      <w:r w:rsidR="00B63E88">
        <w:rPr>
          <w:rFonts w:ascii="Times New Roman" w:eastAsia="Times New Roman" w:hAnsi="Times New Roman" w:cs="Times New Roman"/>
          <w:sz w:val="24"/>
          <w:szCs w:val="24"/>
        </w:rPr>
        <w:fldChar w:fldCharType="begin" w:fldLock="1"/>
      </w:r>
      <w:r w:rsidR="00AF6D3B">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Mountains","type":"article-journal","volume":"8"},"uris":["http://www.mendeley.com/documents/?uuid=278a9795-021c-4ae0-9851-8bded50cff67"]},{"id":"ITEM-2","itemData":{"DOI":"10.1371/journal.pone.0176960","ISBN":"1111111111","ISSN":"19326203","abstract":"Landscape genetic studies based on neutral genetic markers have contributed to our understanding of the influence of landscape composition and configuration on gene flow and genetic variation. However, the potential for species to adapt to changing landscapes will depend on how natural selection influences adaptive genetic variation. We demonstrate how landscape resistance models can be combined with genetic simulations incorporating natural selection to explore how the spread of adaptive variation is affected by landscape characteristics, using desert bighorn sheep (Ovis canadensis nelsoni) in three differing regions of the southwestern United States as an example. We conducted genetic sampling and least-cost path modeling to optimize landscape resistance models independently for each region, and then simulated the spread of an adaptive allele favored by selection across each region. Optimized landscape resistance models differed between regions with respect to landscape variables included and their relationships to resistance, but the slope of terrain and the presence of water barriers and major roads had the greatest impacts on gene flow. Genetic simulations showed that differences among landscapes strongly influenced spread of adaptive genetic variation, with faster spread (1) in landscapes with more continuously distributed habitat and (2) when a pre-existing allele (i.e., standing genetic variation) rather than a novel allele (i.e., mutation) served as the source of adaptive genetic variation. The combination of landscape resistance models and genetic simulations has broad conservation applications and can facilitate comparisons of adaptive potential within and between landscapes.","author":[{"dropping-particle":"","family":"Creech","given":"Tyler G.","non-dropping-particle":"","parse-names":false,"suffix":""},{"dropping-particle":"","family":"Epps","given":"Clinton W.","non-dropping-particle":"","parse-names":false,"suffix":""},{"dropping-particle":"","family":"Landguth","given":"Erin L.","non-dropping-particle":"","parse-names":false,"suffix":""},{"dropping-particle":"","family":"Wehausen","given":"John D.","non-dropping-particle":"","parse-names":false,"suffix":""},{"dropping-particle":"","family":"Crowhurst","given":"Rachel S.","non-dropping-particle":"","parse-names":false,"suffix":""},{"dropping-particle":"","family":"Holton","given":"Brandon","non-dropping-particle":"","parse-names":false,"suffix":""},{"dropping-particle":"","family":"Monello","given":"Ryan J.","non-dropping-particle":"","parse-names":false,"suffix":""}],"container-title":"PLoS ONE","id":"ITEM-2","issue":"5","issued":{"date-parts":[["2017"]]},"page":"1-26","title":"Simulating the spread of selection-driven genotypes using landscape resistance models for desert bighorn sheep","type":"article-journal","volume":"12"},"uris":["http://www.mendeley.com/documents/?uuid=94f470e6-2f76-494c-968f-16905bfa4e02"]}],"mendeley":{"formattedCitation":"(Creech et al., 2017; Landguth, Holden, et al., 2017)","plainTextFormattedCitation":"(Creech et al., 2017; Landguth, Holden, et al., 2017)","previouslyFormattedCitation":"(Creech et al., 2017; Landguth, Holden, et al., 2017)"},"properties":{"noteIndex":0},"schema":"https://github.com/citation-style-language/schema/raw/master/csl-citation.json"}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282E4D" w:rsidRPr="00282E4D">
        <w:rPr>
          <w:rFonts w:ascii="Times New Roman" w:eastAsia="Times New Roman" w:hAnsi="Times New Roman" w:cs="Times New Roman"/>
          <w:noProof/>
          <w:sz w:val="24"/>
          <w:szCs w:val="24"/>
        </w:rPr>
        <w:t>(Creech et al., 2017; Landguth, Holden, et al., 2017)</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to showcas</w:t>
      </w:r>
      <w:r w:rsidR="007D76B3">
        <w:rPr>
          <w:rFonts w:ascii="Times New Roman" w:eastAsia="Times New Roman" w:hAnsi="Times New Roman" w:cs="Times New Roman"/>
          <w:sz w:val="24"/>
          <w:szCs w:val="24"/>
        </w:rPr>
        <w:t xml:space="preserve">ing the performance of various approach to extract valuable information from genetic data </w:t>
      </w:r>
      <w:r w:rsidR="007D76B3">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10.3389/fgene.2017.00139","ISSN":"1664-8021","author":[{"dropping-particle":"","family":"Cubry","given":"Philippe","non-dropping-particle":"","parse-names":false,"suffix":""},{"dropping-particle":"","family":"Vigouroux","given":"Yves","non-dropping-particle":"","parse-names":false,"suffix":""},{"dropping-particle":"","family":"François","given":"Olivier","non-dropping-particle":"","parse-names":false,"suffix":""}],"container-title":"Frontiers in Genetics","id":"ITEM-1","issue":"September","issued":{"date-parts":[["2017"]]},"page":"1-10","title":"The Empirical Distribution of Singletons for Geographic Samples of DNA Sequences","type":"article-journal","volume":"8"},"uris":["http://www.mendeley.com/documents/?uuid=18cc17a9-143d-4cb3-a240-3d89173b02cd"]},{"id":"ITEM-2","itemData":{"DOI":"10.1111/mec.13476","ISBN":"1365-294X","ISSN":"1365294X","PMID":"26576498","abstract":"The spatial structure of the environment (e.g. the configuration of habitat patches) may play an important role in determining the strength of local adaptation. However, previ- ous studies of habitat heterogeneity and local adaptation have largely been limited to simple landscapes, which poorly represent the multiscale habitat structure common in nature. Here, we use simulations to pursue two goals: (i) we explore how landscape heterogeneity, dispersal ability and selection affect the strength of local adaptation, and (ii) we evaluate the performance of several genotype–environment association (GEA) methods for detecting loci involved in local adaptation. We found that the strength of local adaptation increased in spatially aggregated selection regimes, but remained strong in patchy landscapes when selection was moderate to strong. Weak selection resulted in weak local adaptation that was relatively unaffected by landscape heterogeneity. In general, the power of detection methods closely reflected levels of local adaptation. False-positive rates (FPRs), however, showed distinct differences across GEA methods based on levels of population structure. The univariate GEA approach had high FPRs (up to 55%) under limited dispersal scenarios, due to strong isolation by distance. By contrast, multivariate, ordination-based methods had uni- formly low FPRs (0–2%), suggesting these approaches can effectively control for popu- lation structure. Specifically, constrained ordinations had the best balance of high detection and low FPRs and will be a useful addition to the GEA toolkit. Our results provide both theoretical and practical insights into the conditions that shape local adaptation and how these conditions impact our ability to detect selection.","author":[{"dropping-particle":"","family":"Forester","given":"Brenna R.","non-dropping-particle":"","parse-names":false,"suffix":""},{"dropping-particle":"","family":"Jones","given":"Matthew R.","non-dropping-particle":"","parse-names":false,"suffix":""},{"dropping-particle":"","family":"Joost","given":"Stéphane","non-dropping-particle":"","parse-names":false,"suffix":""},{"dropping-particle":"","family":"Landguth","given":"Erin L.","non-dropping-particle":"","parse-names":false,"suffix":""},{"dropping-particle":"","family":"Lasky","given":"Jesse R.","non-dropping-particle":"","parse-names":false,"suffix":""}],"container-title":"Molecular Ecology","id":"ITEM-2","issue":"1","issued":{"date-parts":[["2016"]]},"page":"104-120","title":"Detecting spatial genetic signatures of local adaptation in heterogeneous landscapes","type":"article-journal","volume":"25"},"uris":["http://www.mendeley.com/documents/?uuid=44691057-d7fa-4463-9181-ecb78ab2fb11"]},{"id":"ITEM-3","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A.","non-dropping-particle":"","parse-names":false,"suffix":""}],"container-title":"Genome","id":"ITEM-3","issue":"July","issued":{"date-parts":[["2019"]]},"page":"1-13","title":"The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expansion","type":"article-journal","volume":"13"},"uris":["http://www.mendeley.com/documents/?uuid=684d6e32-3114-4d5f-aab2-03afc496588c"]}],"mendeley":{"formattedCitation":"(Cubry, Vigouroux, &amp; François, 2017; Forester, Jones, Joost, Landguth, &amp; Lasky, 2016; Mayrand et al., 2019)","plainTextFormattedCitation":"(Cubry, Vigouroux, &amp; François, 2017; Forester, Jones, Joost, Landguth, &amp; Lasky, 2016; Mayrand et al., 2019)","previouslyFormattedCitation":"(Cubry, Vigouroux, &amp; François, 2017; Forester, Jones, Joost, Landguth, &amp; Lasky, 2016; Mayrand et al., 2019)"},"properties":{"noteIndex":0},"schema":"https://github.com/citation-style-language/schema/raw/master/csl-citation.json"}</w:instrText>
      </w:r>
      <w:r w:rsidR="007D76B3">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(Cubry, Vigouroux, &amp; François, 2017; Forester, Jones, Joost, Landguth, &amp; Lasky, 2016; Mayrand et al., 2019)</w:t>
      </w:r>
      <w:r w:rsidR="007D76B3">
        <w:rPr>
          <w:rFonts w:ascii="Times New Roman" w:eastAsia="Times New Roman" w:hAnsi="Times New Roman" w:cs="Times New Roman"/>
          <w:sz w:val="24"/>
          <w:szCs w:val="24"/>
        </w:rPr>
        <w:fldChar w:fldCharType="end"/>
      </w:r>
      <w:r w:rsidR="00E75CDD">
        <w:rPr>
          <w:rFonts w:ascii="Times New Roman" w:eastAsia="Times New Roman" w:hAnsi="Times New Roman" w:cs="Times New Roman"/>
          <w:sz w:val="24"/>
          <w:szCs w:val="24"/>
        </w:rPr>
        <w:t>. W</w:t>
      </w:r>
      <w:r w:rsidR="00E75CDD" w:rsidRPr="00E75CDD">
        <w:rPr>
          <w:rFonts w:ascii="Times New Roman" w:eastAsia="Times New Roman" w:hAnsi="Times New Roman" w:cs="Times New Roman"/>
          <w:sz w:val="24"/>
          <w:szCs w:val="24"/>
        </w:rPr>
        <w:t>e do not advise future users</w:t>
      </w:r>
      <w:r w:rsidR="00E75CDD">
        <w:rPr>
          <w:rFonts w:ascii="Times New Roman" w:eastAsia="Times New Roman" w:hAnsi="Times New Roman" w:cs="Times New Roman"/>
          <w:sz w:val="24"/>
          <w:szCs w:val="24"/>
        </w:rPr>
        <w:t xml:space="preserve"> of T</w:t>
      </w:r>
      <w:r w:rsidR="00FC0721">
        <w:rPr>
          <w:rFonts w:ascii="Times New Roman" w:eastAsia="Times New Roman" w:hAnsi="Times New Roman" w:cs="Times New Roman"/>
          <w:sz w:val="24"/>
          <w:szCs w:val="24"/>
        </w:rPr>
        <w:t>G</w:t>
      </w:r>
      <w:r w:rsidR="00E75CDD">
        <w:rPr>
          <w:rFonts w:ascii="Times New Roman" w:eastAsia="Times New Roman" w:hAnsi="Times New Roman" w:cs="Times New Roman"/>
          <w:sz w:val="24"/>
          <w:szCs w:val="24"/>
        </w:rPr>
        <w:t>I, or other permutation approaches,</w:t>
      </w:r>
      <w:r w:rsidR="00E75CDD" w:rsidRPr="00E75CDD">
        <w:rPr>
          <w:rFonts w:ascii="Times New Roman" w:eastAsia="Times New Roman" w:hAnsi="Times New Roman" w:cs="Times New Roman"/>
          <w:sz w:val="24"/>
          <w:szCs w:val="24"/>
        </w:rPr>
        <w:t xml:space="preserve"> to </w:t>
      </w:r>
      <w:r w:rsidR="00E75CDD">
        <w:rPr>
          <w:rFonts w:ascii="Times New Roman" w:eastAsia="Times New Roman" w:hAnsi="Times New Roman" w:cs="Times New Roman"/>
          <w:sz w:val="24"/>
          <w:szCs w:val="24"/>
        </w:rPr>
        <w:t xml:space="preserve">arbitrarily </w:t>
      </w:r>
      <w:r w:rsidR="00E75CDD" w:rsidRPr="00E75CDD">
        <w:rPr>
          <w:rFonts w:ascii="Times New Roman" w:eastAsia="Times New Roman" w:hAnsi="Times New Roman" w:cs="Times New Roman"/>
          <w:sz w:val="24"/>
          <w:szCs w:val="24"/>
        </w:rPr>
        <w:t>choose</w:t>
      </w:r>
      <w:r w:rsidR="009D3B27">
        <w:rPr>
          <w:rFonts w:ascii="Times New Roman" w:eastAsia="Times New Roman" w:hAnsi="Times New Roman" w:cs="Times New Roman"/>
          <w:sz w:val="24"/>
          <w:szCs w:val="24"/>
        </w:rPr>
        <w:t xml:space="preserve"> a </w:t>
      </w:r>
      <w:r w:rsidR="009D3B27">
        <w:rPr>
          <w:rFonts w:ascii="Times New Roman" w:eastAsia="Times New Roman" w:hAnsi="Times New Roman" w:cs="Times New Roman"/>
          <w:i/>
          <w:sz w:val="24"/>
          <w:szCs w:val="24"/>
        </w:rPr>
        <w:t>p</w:t>
      </w:r>
      <w:r w:rsidR="00E75CDD">
        <w:rPr>
          <w:rFonts w:ascii="Times New Roman" w:eastAsia="Times New Roman" w:hAnsi="Times New Roman" w:cs="Times New Roman"/>
          <w:sz w:val="24"/>
          <w:szCs w:val="24"/>
        </w:rPr>
        <w:t>-value threshold to pick which populations display significant changes</w:t>
      </w:r>
      <w:r w:rsidR="005F6E17">
        <w:rPr>
          <w:rFonts w:ascii="Times New Roman" w:eastAsia="Times New Roman" w:hAnsi="Times New Roman" w:cs="Times New Roman"/>
          <w:sz w:val="24"/>
          <w:szCs w:val="24"/>
        </w:rPr>
        <w:t>,</w:t>
      </w:r>
      <w:r w:rsidR="00266374">
        <w:rPr>
          <w:rFonts w:ascii="Times New Roman" w:eastAsia="Times New Roman" w:hAnsi="Times New Roman" w:cs="Times New Roman"/>
          <w:sz w:val="24"/>
          <w:szCs w:val="24"/>
        </w:rPr>
        <w:t xml:space="preserve"> or to base the timing of their</w:t>
      </w:r>
      <w:r w:rsidR="00D2058D">
        <w:rPr>
          <w:rFonts w:ascii="Times New Roman" w:eastAsia="Times New Roman" w:hAnsi="Times New Roman" w:cs="Times New Roman"/>
          <w:sz w:val="24"/>
          <w:szCs w:val="24"/>
        </w:rPr>
        <w:t xml:space="preserve"> sampling</w:t>
      </w:r>
      <w:r w:rsidR="00266374">
        <w:rPr>
          <w:rFonts w:ascii="Times New Roman" w:eastAsia="Times New Roman" w:hAnsi="Times New Roman" w:cs="Times New Roman"/>
          <w:sz w:val="24"/>
          <w:szCs w:val="24"/>
        </w:rPr>
        <w:t>, of course,</w:t>
      </w:r>
      <w:r w:rsidR="004058E4">
        <w:rPr>
          <w:rFonts w:ascii="Times New Roman" w:eastAsia="Times New Roman" w:hAnsi="Times New Roman" w:cs="Times New Roman"/>
          <w:sz w:val="24"/>
          <w:szCs w:val="24"/>
        </w:rPr>
        <w:t xml:space="preserve"> on </w:t>
      </w:r>
      <w:r w:rsidR="005F6E17">
        <w:rPr>
          <w:rFonts w:ascii="Times New Roman" w:eastAsia="Times New Roman" w:hAnsi="Times New Roman" w:cs="Times New Roman"/>
          <w:sz w:val="24"/>
          <w:szCs w:val="24"/>
        </w:rPr>
        <w:t>default simulations</w:t>
      </w:r>
      <w:r w:rsidR="004058E4">
        <w:rPr>
          <w:rFonts w:ascii="Times New Roman" w:eastAsia="Times New Roman" w:hAnsi="Times New Roman" w:cs="Times New Roman"/>
          <w:sz w:val="24"/>
          <w:szCs w:val="24"/>
        </w:rPr>
        <w:t>, or our simulations</w:t>
      </w:r>
      <w:r w:rsidR="005F6E17">
        <w:rPr>
          <w:rFonts w:ascii="Times New Roman" w:eastAsia="Times New Roman" w:hAnsi="Times New Roman" w:cs="Times New Roman"/>
          <w:sz w:val="24"/>
          <w:szCs w:val="24"/>
        </w:rPr>
        <w:t>.</w:t>
      </w:r>
      <w:r w:rsidR="00E75CDD">
        <w:rPr>
          <w:rFonts w:ascii="Times New Roman" w:eastAsia="Times New Roman" w:hAnsi="Times New Roman" w:cs="Times New Roman"/>
          <w:sz w:val="24"/>
          <w:szCs w:val="24"/>
        </w:rPr>
        <w:t xml:space="preserve"> Instead, we encourage them to </w:t>
      </w:r>
      <w:r w:rsidR="00E75CDD">
        <w:rPr>
          <w:rFonts w:ascii="Times New Roman" w:eastAsia="Times New Roman" w:hAnsi="Times New Roman" w:cs="Times New Roman"/>
          <w:sz w:val="24"/>
          <w:szCs w:val="24"/>
        </w:rPr>
        <w:lastRenderedPageBreak/>
        <w:t>run simulations with a reasonable realism</w:t>
      </w:r>
      <w:r w:rsidR="007F6443">
        <w:rPr>
          <w:rFonts w:ascii="Times New Roman" w:eastAsia="Times New Roman" w:hAnsi="Times New Roman" w:cs="Times New Roman"/>
          <w:sz w:val="24"/>
          <w:szCs w:val="24"/>
        </w:rPr>
        <w:t xml:space="preserve">, that is by inputting demographic parameters, such as reproduction parameters, available in the literature (if any) and by carefully creating a virtual landscape resembling their study area. </w:t>
      </w:r>
      <w:r w:rsidR="00C4728B">
        <w:rPr>
          <w:rFonts w:ascii="Times New Roman" w:eastAsia="Times New Roman" w:hAnsi="Times New Roman" w:cs="Times New Roman"/>
          <w:sz w:val="24"/>
          <w:szCs w:val="24"/>
        </w:rPr>
        <w:t xml:space="preserve">If accurate demographic parameters are not available, we encourage them </w:t>
      </w:r>
      <w:r w:rsidR="00DD6118">
        <w:rPr>
          <w:rFonts w:ascii="Times New Roman" w:eastAsia="Times New Roman" w:hAnsi="Times New Roman" w:cs="Times New Roman"/>
          <w:sz w:val="24"/>
          <w:szCs w:val="24"/>
        </w:rPr>
        <w:t>to simulate scenarios with wide-</w:t>
      </w:r>
      <w:r w:rsidR="00C4728B">
        <w:rPr>
          <w:rFonts w:ascii="Times New Roman" w:eastAsia="Times New Roman" w:hAnsi="Times New Roman" w:cs="Times New Roman"/>
          <w:sz w:val="24"/>
          <w:szCs w:val="24"/>
        </w:rPr>
        <w:t xml:space="preserve">ranging parameters values as we did in this study. </w:t>
      </w:r>
      <w:r w:rsidR="00790718">
        <w:rPr>
          <w:rFonts w:ascii="Times New Roman" w:eastAsia="Times New Roman" w:hAnsi="Times New Roman" w:cs="Times New Roman"/>
          <w:sz w:val="24"/>
          <w:szCs w:val="24"/>
        </w:rPr>
        <w:t xml:space="preserve">In order to test more complex </w:t>
      </w:r>
      <w:r w:rsidR="0065660C">
        <w:rPr>
          <w:rFonts w:ascii="Times New Roman" w:eastAsia="Times New Roman" w:hAnsi="Times New Roman" w:cs="Times New Roman"/>
          <w:sz w:val="24"/>
          <w:szCs w:val="24"/>
        </w:rPr>
        <w:t xml:space="preserve">and competing </w:t>
      </w:r>
      <w:r w:rsidR="00790718">
        <w:rPr>
          <w:rFonts w:ascii="Times New Roman" w:eastAsia="Times New Roman" w:hAnsi="Times New Roman" w:cs="Times New Roman"/>
          <w:sz w:val="24"/>
          <w:szCs w:val="24"/>
        </w:rPr>
        <w:t xml:space="preserve">hypotheses </w:t>
      </w:r>
      <w:r w:rsidR="000E3A1A">
        <w:rPr>
          <w:rFonts w:ascii="Times New Roman" w:eastAsia="Times New Roman" w:hAnsi="Times New Roman" w:cs="Times New Roman"/>
          <w:sz w:val="24"/>
          <w:szCs w:val="24"/>
        </w:rPr>
        <w:t xml:space="preserve">for specific phenomenon </w:t>
      </w:r>
      <w:r w:rsidR="00D85987">
        <w:rPr>
          <w:rFonts w:ascii="Times New Roman" w:eastAsia="Times New Roman" w:hAnsi="Times New Roman" w:cs="Times New Roman"/>
          <w:sz w:val="24"/>
          <w:szCs w:val="24"/>
        </w:rPr>
        <w:t>using spatio-temporal</w:t>
      </w:r>
      <w:r w:rsidR="00790718">
        <w:rPr>
          <w:rFonts w:ascii="Times New Roman" w:eastAsia="Times New Roman" w:hAnsi="Times New Roman" w:cs="Times New Roman"/>
          <w:sz w:val="24"/>
          <w:szCs w:val="24"/>
        </w:rPr>
        <w:t xml:space="preserve"> data, </w:t>
      </w:r>
      <w:r w:rsidR="00D85987">
        <w:rPr>
          <w:rFonts w:ascii="Times New Roman" w:eastAsia="Times New Roman" w:hAnsi="Times New Roman" w:cs="Times New Roman"/>
          <w:sz w:val="24"/>
          <w:szCs w:val="24"/>
        </w:rPr>
        <w:t>adequate</w:t>
      </w:r>
      <w:r w:rsidR="000E3A1A">
        <w:rPr>
          <w:rFonts w:ascii="Times New Roman" w:eastAsia="Times New Roman" w:hAnsi="Times New Roman" w:cs="Times New Roman"/>
          <w:sz w:val="24"/>
          <w:szCs w:val="24"/>
        </w:rPr>
        <w:t xml:space="preserve"> </w:t>
      </w:r>
      <w:r w:rsidR="00790718">
        <w:rPr>
          <w:rFonts w:ascii="Times New Roman" w:eastAsia="Times New Roman" w:hAnsi="Times New Roman" w:cs="Times New Roman"/>
          <w:sz w:val="24"/>
          <w:szCs w:val="24"/>
        </w:rPr>
        <w:t xml:space="preserve">process-based null models should be </w:t>
      </w:r>
      <w:r w:rsidR="0065660C">
        <w:rPr>
          <w:rFonts w:ascii="Times New Roman" w:eastAsia="Times New Roman" w:hAnsi="Times New Roman" w:cs="Times New Roman"/>
          <w:sz w:val="24"/>
          <w:szCs w:val="24"/>
        </w:rPr>
        <w:t>created</w:t>
      </w:r>
      <w:r w:rsidR="00790718">
        <w:rPr>
          <w:rFonts w:ascii="Times New Roman" w:eastAsia="Times New Roman" w:hAnsi="Times New Roman" w:cs="Times New Roman"/>
          <w:sz w:val="24"/>
          <w:szCs w:val="24"/>
        </w:rPr>
        <w:t xml:space="preserve">. </w:t>
      </w:r>
      <w:r w:rsidR="003B3778">
        <w:rPr>
          <w:rFonts w:ascii="Times New Roman" w:eastAsia="Times New Roman" w:hAnsi="Times New Roman" w:cs="Times New Roman"/>
          <w:sz w:val="24"/>
          <w:szCs w:val="24"/>
        </w:rPr>
        <w:t>Such spatial n</w:t>
      </w:r>
      <w:r w:rsidR="00790718">
        <w:rPr>
          <w:rFonts w:ascii="Times New Roman" w:eastAsia="Times New Roman" w:hAnsi="Times New Roman" w:cs="Times New Roman"/>
          <w:sz w:val="24"/>
          <w:szCs w:val="24"/>
        </w:rPr>
        <w:t xml:space="preserve">ull models </w:t>
      </w:r>
      <w:r w:rsidR="003B3778">
        <w:rPr>
          <w:rFonts w:ascii="Times New Roman" w:eastAsia="Times New Roman" w:hAnsi="Times New Roman" w:cs="Times New Roman"/>
          <w:sz w:val="24"/>
          <w:szCs w:val="24"/>
        </w:rPr>
        <w:t xml:space="preserve">can be generated by simulations </w:t>
      </w:r>
      <w:r w:rsidR="00DD6118">
        <w:rPr>
          <w:rFonts w:ascii="Times New Roman" w:eastAsia="Times New Roman" w:hAnsi="Times New Roman" w:cs="Times New Roman"/>
          <w:sz w:val="24"/>
          <w:szCs w:val="24"/>
        </w:rPr>
        <w:t>involving the</w:t>
      </w:r>
      <w:r w:rsidR="003B3778">
        <w:rPr>
          <w:rFonts w:ascii="Times New Roman" w:eastAsia="Times New Roman" w:hAnsi="Times New Roman" w:cs="Times New Roman"/>
          <w:sz w:val="24"/>
          <w:szCs w:val="24"/>
        </w:rPr>
        <w:t xml:space="preserve"> modelling </w:t>
      </w:r>
      <w:r w:rsidR="000E3A1A">
        <w:rPr>
          <w:rFonts w:ascii="Times New Roman" w:eastAsia="Times New Roman" w:hAnsi="Times New Roman" w:cs="Times New Roman"/>
          <w:sz w:val="24"/>
          <w:szCs w:val="24"/>
        </w:rPr>
        <w:t>major</w:t>
      </w:r>
      <w:r w:rsidR="003B3778">
        <w:rPr>
          <w:rFonts w:ascii="Times New Roman" w:eastAsia="Times New Roman" w:hAnsi="Times New Roman" w:cs="Times New Roman"/>
          <w:sz w:val="24"/>
          <w:szCs w:val="24"/>
        </w:rPr>
        <w:t xml:space="preserve"> phenomena </w:t>
      </w:r>
      <w:r w:rsidR="000E3A1A">
        <w:rPr>
          <w:rFonts w:ascii="Times New Roman" w:eastAsia="Times New Roman" w:hAnsi="Times New Roman" w:cs="Times New Roman"/>
          <w:sz w:val="24"/>
          <w:szCs w:val="24"/>
        </w:rPr>
        <w:t xml:space="preserve">that are </w:t>
      </w:r>
      <w:r w:rsidR="003B3778">
        <w:rPr>
          <w:rFonts w:ascii="Times New Roman" w:eastAsia="Times New Roman" w:hAnsi="Times New Roman" w:cs="Times New Roman"/>
          <w:sz w:val="24"/>
          <w:szCs w:val="24"/>
        </w:rPr>
        <w:t>not generating the pattern of interest so that tests can be better calibrated to reliably identify significance</w:t>
      </w:r>
      <w:r w:rsidR="000E3A1A">
        <w:rPr>
          <w:rFonts w:ascii="Times New Roman" w:eastAsia="Times New Roman" w:hAnsi="Times New Roman" w:cs="Times New Roman"/>
          <w:sz w:val="24"/>
          <w:szCs w:val="24"/>
        </w:rPr>
        <w:t xml:space="preserve"> </w:t>
      </w:r>
      <w:r w:rsidR="000E3A1A">
        <w:rPr>
          <w:rFonts w:ascii="Times New Roman" w:eastAsia="Times New Roman" w:hAnsi="Times New Roman" w:cs="Times New Roman"/>
          <w:sz w:val="24"/>
          <w:szCs w:val="24"/>
        </w:rPr>
        <w:fldChar w:fldCharType="begin" w:fldLock="1"/>
      </w:r>
      <w:r w:rsidR="00BB6B2C">
        <w:rPr>
          <w:rFonts w:ascii="Times New Roman" w:eastAsia="Times New Roman" w:hAnsi="Times New Roman" w:cs="Times New Roman"/>
          <w:sz w:val="24"/>
          <w:szCs w:val="24"/>
        </w:rPr>
        <w:instrText>ADDIN CSL_CITATION {"citationItems":[{"id":"ITEM-1","itemData":{"DOI":"10.1007/s10980-010-9465-2","ISSN":"09212973","abstract":"We combine wavelet analysis and multiple null models to identify significant spatial scales of pattern and spatial boundaries in historical spruce budworm defoliation in Ontario, Canada. Previous analyses of budworm defoliation in Ontario over the last two outbreaks have suggested three distinct zones of defoliation. We asked the following three questions: (1) is there statistical support for the existence of these three zones? (2) Are the locations of these boundaries consistent between outbreak periods? And (3) how does boundary identification depend on the spatial null model used? Defoliation data for the two outbreak periods (1941–1965 and 1966–2001), and the combined period (1941–2001) were analyzed using a 1D continuous wavelet transform. Boundaries were identified through comparison of wavelet power spectra of each outbreak period to reference distributions based on three different spatial null models: (1) a complete spatial randomness model, (2) an autoregressive model, and (3) a Gaussian random field model. The Gaussian random field model identified coarser scales of pattern than the autoregressive model. Locally, the Gaussian random field model found significant boundaries similar to those previously described, whereas the autoregressive model only did so for the first outbreak. These results indicate that the coarse scale spatial factors that influenced defoliation were more consistent between outbreaks relative to fine scale factors, and that previously described boundaries were strongly driven by the first outbreak. Wavelet analysis combined with spatial null models provides a powerful tool for identifying non-arbitrary scales of structure and significant spatial boundaries in non-stationary ecological data.","author":[{"dropping-particle":"","family":"James","given":"Patrick M. a.","non-dropping-particle":"","parse-names":false,"suffix":""},{"dropping-particle":"","family":"Fleming","given":"Richard a.","non-dropping-particle":"","parse-names":false,"suffix":""},{"dropping-particle":"","family":"Fortin","given":"Marie Josée","non-dropping-particle":"","parse-names":false,"suffix":""}],"container-title":"Landscape Ecology","id":"ITEM-1","issued":{"date-parts":[["2010"]]},"page":"873-887","title":"Identifying significant scale-specific spatial boundaries using wavelets and null models: Spruce budworm defoliation in Ontario, Canada as a case study","type":"article-journal","volume":"25"},"uris":["http://www.mendeley.com/documents/?uuid=cbd77f14-5fe2-4661-8b37-62f8b48249eb"]},{"id":"ITEM-2","itemData":{"DOI":"10.1111/mec.13345","ISBN":"1365-294X (Electronic)\\r0962-1083 (Linking)","ISSN":"1365294X","PMID":"26284462","abstract":"Describing, understanding and predicting the spatial distribution of genetic diversity is a central issue in biological sciences. In river landscapes, it is generally predicted that neutral genetic diversity should increase downstream, but there have been few attempts to test and validate this assumption across taxonomic groups. Moreover, it is still unclear what are the evolutionary processes that may generate this apparent spatial pattern of diversity. Here, we quantitatively synthesized published results from diverse taxa living in river ecosystems, and we performed a meta-analysis to show that a downstream increase in intraspecific genetic diversity (DIGD) actually constitutes a general spatial pattern of biodiversity that is repeatable across taxa. We further demonstrated that DIGD was stronger for strictly waterborne dispersing than for overland dispersing species. However, for a restricted data set focusing on fishes, there was no evidence that DIGD was related to particular species traits. We then searched for general processes underlying DIGD by simulating genetic data in dendritic-like river systems. Simulations revealed that the three processes we considered (downstream-biased dispersal, increase in habitat availability downstream and upstream-directed colonization) might generate DIGD. Using random forest models, we identified from simulations a set of highly informative summary statistics allowing discriminating among the processes causing DIGD. Finally, combining these discriminant statistics and approximate Bayesian computations on a set of twelve empirical case studies, we hypothesized that DIGD were most likely due to the interaction of two of these three processes and that contrary to expectation, they were not solely caused by downstream-biased dispersal.","author":[{"dropping-particle":"","family":"Paz-Vinas","given":"I.","non-dropping-particle":"","parse-names":false,"suffix":""},{"dropping-particle":"","family":"Loot","given":"G.","non-dropping-particle":"","parse-names":false,"suffix":""},{"dropping-particle":"","family":"Stevens","given":"V. M.","non-dropping-particle":"","parse-names":false,"suffix":""},{"dropping-particle":"","family":"Blanchet","given":"S.","non-dropping-particle":"","parse-names":false,"suffix":""}],"container-title":"Molecular Ecology","id":"ITEM-2","issue":"18","issued":{"date-parts":[["2015"]]},"page":"4586-4604","title":"Evolutionary processes driving spatial patterns of intraspecific genetic diversity in river ecosystems","type":"article-journal","volume":"24"},"uris":["http://www.mendeley.com/documents/?uuid=1c3df611-3425-4dca-b8cf-274602b133a9"]},{"id":"ITEM-3","itemData":{"DOI":"10.1007/s10980-006-9011-4","ISSN":"09212973","abstract":"Neutral landscape models were originally developed to test the hypothesis that human-induced fragmentation produces patterns distinctly different from those associated with random processes. Other uses for neutral models have become apparent, including the development and testing of landscape metrics to characterize landscape pattern. Although metric development proved to be significant, the focus on metrics obscured the need for iterative hypothesis testing fundamental to the advancement of the discipline. We present here an example of an alternative neutral model and hypothesis designed to relate the process of landscape change to observed landscape patterns. The methods and program, QRULE, are described and options for statistical testing outlined. The results show that human fragmentation of landscapes results in a non-random association of land-cover types that can be describe by simple statistical methods. Options for additional landscape studies are discussed and access to QRULE described in the hope that these methods will be employed to advance our understanding of the processes that affect the structure and function in human dominated landscapes.","author":[{"dropping-particle":"","family":"Gardner","given":"Robert H.","non-dropping-particle":"","parse-names":false,"suffix":""},{"dropping-particle":"","family":"Urban","given":"Dean L.","non-dropping-particle":"","parse-names":false,"suffix":""}],"container-title":"Landscape Ecology","id":"ITEM-3","issue":"1","issued":{"date-parts":[["2007"]]},"page":"15-29","title":"Neutral models for testing landscape hypotheses","type":"article-journal","volume":"22"},"uris":["http://www.mendeley.com/documents/?uuid=5d520535-7b04-42c7-98d5-ccf5ed30028c"]}],"mendeley":{"formattedCitation":"(Gardner &amp; Urban, 2007; James, Fleming, &amp; Fortin, 2010; Paz-Vinas, Loot, Stevens, &amp; Blanchet, 2015)","plainTextFormattedCitation":"(Gardner &amp; Urban, 2007; James, Fleming, &amp; Fortin, 2010; Paz-Vinas, Loot, Stevens, &amp; Blanchet, 2015)","previouslyFormattedCitation":"(Gardner &amp; Urban, 2007; James, Fleming, &amp; Fortin, 2010; Paz-Vinas, Loot, Stevens, &amp; Blanchet, 2015)"},"properties":{"noteIndex":0},"schema":"https://github.com/citation-style-language/schema/raw/master/csl-citation.json"}</w:instrText>
      </w:r>
      <w:r w:rsidR="000E3A1A">
        <w:rPr>
          <w:rFonts w:ascii="Times New Roman" w:eastAsia="Times New Roman" w:hAnsi="Times New Roman" w:cs="Times New Roman"/>
          <w:sz w:val="24"/>
          <w:szCs w:val="24"/>
        </w:rPr>
        <w:fldChar w:fldCharType="separate"/>
      </w:r>
      <w:r w:rsidR="00D85987" w:rsidRPr="00D85987">
        <w:rPr>
          <w:rFonts w:ascii="Times New Roman" w:eastAsia="Times New Roman" w:hAnsi="Times New Roman" w:cs="Times New Roman"/>
          <w:noProof/>
          <w:sz w:val="24"/>
          <w:szCs w:val="24"/>
        </w:rPr>
        <w:t>(Gardner &amp; Urban, 2007; James, Fleming, &amp; Fortin, 2010; Paz-Vinas, Loot, Stevens, &amp; Blanchet, 2015)</w:t>
      </w:r>
      <w:r w:rsidR="000E3A1A">
        <w:rPr>
          <w:rFonts w:ascii="Times New Roman" w:eastAsia="Times New Roman" w:hAnsi="Times New Roman" w:cs="Times New Roman"/>
          <w:sz w:val="24"/>
          <w:szCs w:val="24"/>
        </w:rPr>
        <w:fldChar w:fldCharType="end"/>
      </w:r>
      <w:r w:rsidR="003B3778">
        <w:rPr>
          <w:rFonts w:ascii="Times New Roman" w:eastAsia="Times New Roman" w:hAnsi="Times New Roman" w:cs="Times New Roman"/>
          <w:sz w:val="24"/>
          <w:szCs w:val="24"/>
        </w:rPr>
        <w:t>.</w:t>
      </w:r>
      <w:r w:rsidR="00FC0721">
        <w:rPr>
          <w:rFonts w:ascii="Times New Roman" w:eastAsia="Times New Roman" w:hAnsi="Times New Roman" w:cs="Times New Roman"/>
          <w:sz w:val="24"/>
          <w:szCs w:val="24"/>
        </w:rPr>
        <w:t xml:space="preserve"> This increased realism, and evaluation of uncertainty, would provide more accurate tests, to pick the best </w:t>
      </w:r>
      <w:r w:rsidR="00FC0721">
        <w:rPr>
          <w:rFonts w:ascii="Times New Roman" w:eastAsia="Times New Roman" w:hAnsi="Times New Roman" w:cs="Times New Roman"/>
          <w:i/>
          <w:sz w:val="24"/>
          <w:szCs w:val="24"/>
        </w:rPr>
        <w:t>p</w:t>
      </w:r>
      <w:r w:rsidR="00FC0721">
        <w:rPr>
          <w:rFonts w:ascii="Times New Roman" w:eastAsia="Times New Roman" w:hAnsi="Times New Roman" w:cs="Times New Roman"/>
          <w:sz w:val="24"/>
          <w:szCs w:val="24"/>
        </w:rPr>
        <w:t xml:space="preserve">-value threshold, as well as understand when is it still adequate to sample, to get the best out of spatial genetic legacies. A number of programs such as </w:t>
      </w:r>
      <w:r w:rsidR="00FC0721" w:rsidRPr="00DF7D4D">
        <w:rPr>
          <w:rFonts w:ascii="Times New Roman" w:eastAsia="Times New Roman" w:hAnsi="Times New Roman" w:cs="Times New Roman"/>
          <w:i/>
          <w:sz w:val="24"/>
          <w:szCs w:val="24"/>
        </w:rPr>
        <w:t>CDMetaPOP</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7F6443">
        <w:rPr>
          <w:rFonts w:ascii="Times New Roman" w:eastAsia="Times New Roman" w:hAnsi="Times New Roman" w:cs="Times New Roman"/>
          <w:noProof/>
          <w:sz w:val="24"/>
          <w:szCs w:val="24"/>
        </w:rPr>
        <w:t>(Landguth, Bearlin, et al., 2017)</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w:t>
      </w:r>
      <w:r w:rsidR="00FC0721" w:rsidRPr="00FF7F91">
        <w:rPr>
          <w:rFonts w:ascii="Times New Roman" w:eastAsia="Times New Roman" w:hAnsi="Times New Roman" w:cs="Times New Roman"/>
          <w:i/>
          <w:sz w:val="24"/>
          <w:szCs w:val="24"/>
        </w:rPr>
        <w:t>Nemo</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(Guillaume &amp; Rougemont, 2006)</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w:t>
      </w:r>
      <w:r w:rsidR="00FC0721" w:rsidRPr="00DF7D4D">
        <w:rPr>
          <w:rFonts w:ascii="Times New Roman" w:eastAsia="Times New Roman" w:hAnsi="Times New Roman" w:cs="Times New Roman"/>
          <w:i/>
          <w:sz w:val="24"/>
          <w:szCs w:val="24"/>
        </w:rPr>
        <w:t>SPLATCHE</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9D4A91">
        <w:rPr>
          <w:rFonts w:ascii="Times New Roman" w:eastAsia="Times New Roman" w:hAnsi="Times New Roman" w:cs="Times New Roman"/>
          <w:noProof/>
          <w:sz w:val="24"/>
          <w:szCs w:val="24"/>
        </w:rPr>
        <w:t>(Currat, Ray, &amp; Excoffier, 2004)</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or </w:t>
      </w:r>
      <w:r w:rsidR="00FC0721" w:rsidRPr="00DF7D4D">
        <w:rPr>
          <w:rFonts w:ascii="Times New Roman" w:eastAsia="Times New Roman" w:hAnsi="Times New Roman" w:cs="Times New Roman"/>
          <w:i/>
          <w:sz w:val="24"/>
          <w:szCs w:val="24"/>
        </w:rPr>
        <w:t>SLIM</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(Haller &amp; Messer, 2019)</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provide very flexible and sophisticated ways to implement such simulations.</w:t>
      </w:r>
    </w:p>
    <w:p w14:paraId="5E6F1155" w14:textId="367D0C43" w:rsidR="00635AF6" w:rsidRDefault="00635AF6" w:rsidP="00A51948">
      <w:pPr>
        <w:spacing w:before="240" w:after="240" w:line="480" w:lineRule="auto"/>
        <w:rPr>
          <w:rFonts w:ascii="Times New Roman" w:hAnsi="Times New Roman" w:cs="Times New Roman"/>
          <w:sz w:val="24"/>
          <w:szCs w:val="24"/>
        </w:rPr>
      </w:pPr>
      <w:r>
        <w:rPr>
          <w:rFonts w:ascii="Times New Roman" w:hAnsi="Times New Roman" w:cs="Times New Roman"/>
          <w:sz w:val="24"/>
          <w:szCs w:val="24"/>
        </w:rPr>
        <w:t xml:space="preserve">We believe that </w:t>
      </w:r>
      <w:r w:rsidR="00804242">
        <w:rPr>
          <w:rFonts w:ascii="Times New Roman" w:hAnsi="Times New Roman" w:cs="Times New Roman"/>
          <w:sz w:val="24"/>
          <w:szCs w:val="24"/>
        </w:rPr>
        <w:t>TGI could be</w:t>
      </w:r>
      <w:r>
        <w:rPr>
          <w:rFonts w:ascii="Times New Roman" w:hAnsi="Times New Roman" w:cs="Times New Roman"/>
          <w:sz w:val="24"/>
          <w:szCs w:val="24"/>
        </w:rPr>
        <w:t xml:space="preserve"> useful to many landscape ecologists and natural resources managers thanks to its focus on spotting conservation-relevant changes in gen</w:t>
      </w:r>
      <w:r w:rsidR="00804242">
        <w:rPr>
          <w:rFonts w:ascii="Times New Roman" w:hAnsi="Times New Roman" w:cs="Times New Roman"/>
          <w:sz w:val="24"/>
          <w:szCs w:val="24"/>
        </w:rPr>
        <w:t>etic diversity in the landscape.</w:t>
      </w:r>
      <w:r>
        <w:rPr>
          <w:rFonts w:ascii="Times New Roman" w:hAnsi="Times New Roman" w:cs="Times New Roman"/>
          <w:sz w:val="24"/>
          <w:szCs w:val="24"/>
        </w:rPr>
        <w:t xml:space="preserve"> </w:t>
      </w:r>
      <w:r w:rsidR="00804242">
        <w:rPr>
          <w:rFonts w:ascii="Times New Roman" w:hAnsi="Times New Roman" w:cs="Times New Roman"/>
          <w:sz w:val="24"/>
          <w:szCs w:val="24"/>
        </w:rPr>
        <w:t>By allowing researchers to confidently identify the most interesting populations to more closely monitor, even from limited genetic data, TGI could also help focus resources for conservation actions and guide investigations.</w:t>
      </w:r>
    </w:p>
    <w:p w14:paraId="764C2B7F" w14:textId="77777777" w:rsidR="00804242" w:rsidRPr="00635AF6" w:rsidRDefault="00804242" w:rsidP="00A51948">
      <w:pPr>
        <w:spacing w:before="240" w:after="240" w:line="480" w:lineRule="auto"/>
        <w:rPr>
          <w:rFonts w:ascii="Times New Roman" w:hAnsi="Times New Roman" w:cs="Times New Roman"/>
          <w:sz w:val="24"/>
          <w:szCs w:val="24"/>
        </w:rPr>
      </w:pPr>
    </w:p>
    <w:p w14:paraId="3749F458" w14:textId="7364005E"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21A63CC5"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lastRenderedPageBreak/>
        <w:t xml:space="preserve">All simulation data </w:t>
      </w:r>
      <w:r w:rsidR="00E308A2">
        <w:rPr>
          <w:rFonts w:ascii="Times New Roman" w:hAnsi="Times New Roman" w:cs="Times New Roman"/>
          <w:sz w:val="24"/>
          <w:szCs w:val="24"/>
        </w:rPr>
        <w:t>used for this paper will be deposited online</w:t>
      </w:r>
      <w:r w:rsidR="00926F7A">
        <w:rPr>
          <w:rFonts w:ascii="Times New Roman" w:hAnsi="Times New Roman" w:cs="Times New Roman"/>
          <w:sz w:val="24"/>
          <w:szCs w:val="24"/>
        </w:rPr>
        <w:t xml:space="preserve"> upon acceptance</w:t>
      </w:r>
      <w:r w:rsidR="00E308A2">
        <w:rPr>
          <w:rFonts w:ascii="Times New Roman" w:hAnsi="Times New Roman" w:cs="Times New Roman"/>
          <w:sz w:val="24"/>
          <w:szCs w:val="24"/>
        </w:rPr>
        <w:t>.</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sidR="00032375">
        <w:rPr>
          <w:rFonts w:ascii="Times New Roman" w:hAnsi="Times New Roman" w:cs="Times New Roman"/>
          <w:i/>
          <w:sz w:val="24"/>
          <w:szCs w:val="24"/>
        </w:rPr>
        <w:t xml:space="preserve"> TG</w:t>
      </w:r>
      <w:r w:rsidR="00926F7A">
        <w:rPr>
          <w:rFonts w:ascii="Times New Roman" w:hAnsi="Times New Roman" w:cs="Times New Roman"/>
          <w:i/>
          <w:sz w:val="24"/>
          <w:szCs w:val="24"/>
        </w:rPr>
        <w:t>I,</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r w:rsidR="002A1E12">
        <w:rPr>
          <w:rFonts w:ascii="Times New Roman" w:hAnsi="Times New Roman" w:cs="Times New Roman"/>
          <w:sz w:val="24"/>
          <w:szCs w:val="24"/>
        </w:rPr>
        <w:t xml:space="preserve"> in the near future</w:t>
      </w:r>
      <w:r>
        <w:rPr>
          <w:rFonts w:ascii="Times New Roman" w:hAnsi="Times New Roman" w:cs="Times New Roman"/>
          <w:sz w:val="24"/>
          <w:szCs w:val="24"/>
        </w:rPr>
        <w:t>.</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2BD07396"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hyperlink r:id="rId12"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Jeremy Larroque,</w:t>
      </w:r>
      <w:r w:rsidR="002862FB">
        <w:rPr>
          <w:rFonts w:ascii="Times New Roman" w:hAnsi="Times New Roman" w:cs="Times New Roman"/>
          <w:sz w:val="24"/>
          <w:szCs w:val="24"/>
        </w:rPr>
        <w:t xml:space="preserve"> Hinatea Ariey</w:t>
      </w:r>
      <w:r w:rsidR="005E037A">
        <w:rPr>
          <w:rFonts w:ascii="Times New Roman" w:hAnsi="Times New Roman" w:cs="Times New Roman"/>
          <w:sz w:val="24"/>
          <w:szCs w:val="24"/>
        </w:rPr>
        <w:t xml:space="preserve"> and others,</w:t>
      </w:r>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bookmarkStart w:id="2" w:name="_GoBack"/>
      <w:bookmarkEnd w:id="2"/>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r w:rsidRPr="0007763B">
        <w:rPr>
          <w:rFonts w:ascii="Times New Roman" w:eastAsia="Times New Roman" w:hAnsi="Times New Roman" w:cs="Times New Roman"/>
          <w:b/>
          <w:sz w:val="24"/>
          <w:szCs w:val="24"/>
        </w:rPr>
        <w:t>REFERENCES</w:t>
      </w:r>
    </w:p>
    <w:p w14:paraId="44CBC38A" w14:textId="5D8F5788" w:rsidR="003F6100" w:rsidRPr="003F6100" w:rsidRDefault="004E13A5"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3F6100" w:rsidRPr="003F6100">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3F6100" w:rsidRPr="003F6100">
        <w:rPr>
          <w:rFonts w:ascii="Times New Roman" w:hAnsi="Times New Roman" w:cs="Times New Roman"/>
          <w:i/>
          <w:iCs/>
          <w:noProof/>
          <w:sz w:val="24"/>
          <w:szCs w:val="24"/>
        </w:rPr>
        <w:t>Evolution</w:t>
      </w:r>
      <w:r w:rsidR="003F6100" w:rsidRPr="003F6100">
        <w:rPr>
          <w:rFonts w:ascii="Times New Roman" w:hAnsi="Times New Roman" w:cs="Times New Roman"/>
          <w:noProof/>
          <w:sz w:val="24"/>
          <w:szCs w:val="24"/>
        </w:rPr>
        <w:t xml:space="preserve">, </w:t>
      </w:r>
      <w:r w:rsidR="003F6100" w:rsidRPr="003F6100">
        <w:rPr>
          <w:rFonts w:ascii="Times New Roman" w:hAnsi="Times New Roman" w:cs="Times New Roman"/>
          <w:i/>
          <w:iCs/>
          <w:noProof/>
          <w:sz w:val="24"/>
          <w:szCs w:val="24"/>
        </w:rPr>
        <w:t>69</w:t>
      </w:r>
      <w:r w:rsidR="003F6100" w:rsidRPr="003F6100">
        <w:rPr>
          <w:rFonts w:ascii="Times New Roman" w:hAnsi="Times New Roman" w:cs="Times New Roman"/>
          <w:noProof/>
          <w:sz w:val="24"/>
          <w:szCs w:val="24"/>
        </w:rPr>
        <w:t xml:space="preserve">(3), 823–829. doi: </w:t>
      </w:r>
      <w:r w:rsidR="003F6100" w:rsidRPr="003F6100">
        <w:rPr>
          <w:rFonts w:ascii="Times New Roman" w:hAnsi="Times New Roman" w:cs="Times New Roman"/>
          <w:noProof/>
          <w:sz w:val="24"/>
          <w:szCs w:val="24"/>
        </w:rPr>
        <w:lastRenderedPageBreak/>
        <w:t>10.1111/evo.12596</w:t>
      </w:r>
    </w:p>
    <w:p w14:paraId="5819653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Aeschbacher, S., Selby, J. P., Willis, J. H., &amp; Coop, G. M. (2016). </w:t>
      </w:r>
      <w:r w:rsidRPr="003F6100">
        <w:rPr>
          <w:rFonts w:ascii="Times New Roman" w:hAnsi="Times New Roman" w:cs="Times New Roman"/>
          <w:i/>
          <w:iCs/>
          <w:noProof/>
          <w:sz w:val="24"/>
          <w:szCs w:val="24"/>
        </w:rPr>
        <w:t>Population-genomic inference of the strength and timing of selection against gene flow</w:t>
      </w:r>
      <w:r w:rsidRPr="003F6100">
        <w:rPr>
          <w:rFonts w:ascii="Times New Roman" w:hAnsi="Times New Roman" w:cs="Times New Roman"/>
          <w:noProof/>
          <w:sz w:val="24"/>
          <w:szCs w:val="24"/>
        </w:rPr>
        <w:t>. (18), 1–6. doi: 10.1101/072736</w:t>
      </w:r>
    </w:p>
    <w:p w14:paraId="614BDD6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Albrechtsen, A., Nielsen, F. C., &amp; Nielsen, R. (2010). Ascertainment biases in SNP chips affect measures of population divergence. </w:t>
      </w:r>
      <w:r w:rsidRPr="003F6100">
        <w:rPr>
          <w:rFonts w:ascii="Times New Roman" w:hAnsi="Times New Roman" w:cs="Times New Roman"/>
          <w:i/>
          <w:iCs/>
          <w:noProof/>
          <w:sz w:val="24"/>
          <w:szCs w:val="24"/>
        </w:rPr>
        <w:t>Molecular Biology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27</w:t>
      </w:r>
      <w:r w:rsidRPr="003F6100">
        <w:rPr>
          <w:rFonts w:ascii="Times New Roman" w:hAnsi="Times New Roman" w:cs="Times New Roman"/>
          <w:noProof/>
          <w:sz w:val="24"/>
          <w:szCs w:val="24"/>
        </w:rPr>
        <w:t>(11), 2534–2547. doi: 10.1093/molbev/msq148</w:t>
      </w:r>
    </w:p>
    <w:p w14:paraId="3679484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Allendorf, F. W., Hohenlohe, P. A., &amp; Luikart, G. (2010). Genomics and the future of conservation genetics. </w:t>
      </w:r>
      <w:r w:rsidRPr="003F6100">
        <w:rPr>
          <w:rFonts w:ascii="Times New Roman" w:hAnsi="Times New Roman" w:cs="Times New Roman"/>
          <w:i/>
          <w:iCs/>
          <w:noProof/>
          <w:sz w:val="24"/>
          <w:szCs w:val="24"/>
        </w:rPr>
        <w:t>Nature Reviews.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w:t>
      </w:r>
      <w:r w:rsidRPr="003F6100">
        <w:rPr>
          <w:rFonts w:ascii="Times New Roman" w:hAnsi="Times New Roman" w:cs="Times New Roman"/>
          <w:noProof/>
          <w:sz w:val="24"/>
          <w:szCs w:val="24"/>
        </w:rPr>
        <w:t>(10), 697–709. doi: 10.1038/nrg2844</w:t>
      </w:r>
    </w:p>
    <w:p w14:paraId="65D79F4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19</w:t>
      </w:r>
      <w:r w:rsidRPr="003F6100">
        <w:rPr>
          <w:rFonts w:ascii="Times New Roman" w:hAnsi="Times New Roman" w:cs="Times New Roman"/>
          <w:noProof/>
          <w:sz w:val="24"/>
          <w:szCs w:val="24"/>
        </w:rPr>
        <w:t>(17), 3565–3575. doi: 10.1111/j.1365-294X.2010.04757.x</w:t>
      </w:r>
    </w:p>
    <w:p w14:paraId="1C06DA9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Apodaca, J. J., Trexler, J. C., Jue, N. K., Schrader, M., &amp; Travis, J. (2013). Large-scale natural disturbance alters genetic population structure of the sailfin molly, poecilia latipinna. </w:t>
      </w:r>
      <w:r w:rsidRPr="003F6100">
        <w:rPr>
          <w:rFonts w:ascii="Times New Roman" w:hAnsi="Times New Roman" w:cs="Times New Roman"/>
          <w:i/>
          <w:iCs/>
          <w:noProof/>
          <w:sz w:val="24"/>
          <w:szCs w:val="24"/>
        </w:rPr>
        <w:t>American Naturalist</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181</w:t>
      </w:r>
      <w:r w:rsidRPr="003F6100">
        <w:rPr>
          <w:rFonts w:ascii="Times New Roman" w:hAnsi="Times New Roman" w:cs="Times New Roman"/>
          <w:noProof/>
          <w:sz w:val="24"/>
          <w:szCs w:val="24"/>
        </w:rPr>
        <w:t>(2), 254–263. doi: 10.1086/668831</w:t>
      </w:r>
    </w:p>
    <w:p w14:paraId="4DFD6EC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Avise, J. C. (1994). </w:t>
      </w:r>
      <w:r w:rsidRPr="003F6100">
        <w:rPr>
          <w:rFonts w:ascii="Times New Roman" w:hAnsi="Times New Roman" w:cs="Times New Roman"/>
          <w:i/>
          <w:iCs/>
          <w:noProof/>
          <w:sz w:val="24"/>
          <w:szCs w:val="24"/>
        </w:rPr>
        <w:t>Molecular markers, natural history and evolution</w:t>
      </w:r>
      <w:r w:rsidRPr="003F6100">
        <w:rPr>
          <w:rFonts w:ascii="Times New Roman" w:hAnsi="Times New Roman" w:cs="Times New Roman"/>
          <w:noProof/>
          <w:sz w:val="24"/>
          <w:szCs w:val="24"/>
        </w:rPr>
        <w:t>. London, UK: Chapman &amp; Hall.</w:t>
      </w:r>
    </w:p>
    <w:p w14:paraId="0E8EEB63"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3F6100">
        <w:rPr>
          <w:rFonts w:ascii="Times New Roman" w:hAnsi="Times New Roman" w:cs="Times New Roman"/>
          <w:i/>
          <w:iCs/>
          <w:noProof/>
          <w:sz w:val="24"/>
          <w:szCs w:val="24"/>
        </w:rPr>
        <w:t>Copeia</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106</w:t>
      </w:r>
      <w:r w:rsidRPr="003F6100">
        <w:rPr>
          <w:rFonts w:ascii="Times New Roman" w:hAnsi="Times New Roman" w:cs="Times New Roman"/>
          <w:noProof/>
          <w:sz w:val="24"/>
          <w:szCs w:val="24"/>
        </w:rPr>
        <w:t xml:space="preserve">(3), </w:t>
      </w:r>
      <w:r w:rsidRPr="003F6100">
        <w:rPr>
          <w:rFonts w:ascii="Times New Roman" w:hAnsi="Times New Roman" w:cs="Times New Roman"/>
          <w:noProof/>
          <w:sz w:val="24"/>
          <w:szCs w:val="24"/>
        </w:rPr>
        <w:lastRenderedPageBreak/>
        <w:t>414–420. doi: 10.1643/cg-17-682</w:t>
      </w:r>
    </w:p>
    <w:p w14:paraId="1BE8DF7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3F6100">
        <w:rPr>
          <w:rFonts w:ascii="Times New Roman" w:hAnsi="Times New Roman" w:cs="Times New Roman"/>
          <w:i/>
          <w:iCs/>
          <w:noProof/>
          <w:sz w:val="24"/>
          <w:szCs w:val="24"/>
        </w:rPr>
        <w:t>Trends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w:t>
      </w:r>
      <w:r w:rsidRPr="003F6100">
        <w:rPr>
          <w:rFonts w:ascii="Times New Roman" w:hAnsi="Times New Roman" w:cs="Times New Roman"/>
          <w:noProof/>
          <w:sz w:val="24"/>
          <w:szCs w:val="24"/>
        </w:rPr>
        <w:t>(11), 670–679. doi: 10.1016/j.tree.2013.08.005</w:t>
      </w:r>
    </w:p>
    <w:p w14:paraId="4FD1183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Bellard, C., Bertelsmeier, C., Leadley, P., Thuiller, W., &amp; Courchamp, F. (2012). Impacts of climate change on the future of biodiversity. </w:t>
      </w:r>
      <w:r w:rsidRPr="003F6100">
        <w:rPr>
          <w:rFonts w:ascii="Times New Roman" w:hAnsi="Times New Roman" w:cs="Times New Roman"/>
          <w:i/>
          <w:iCs/>
          <w:noProof/>
          <w:sz w:val="24"/>
          <w:szCs w:val="24"/>
        </w:rPr>
        <w:t>Ecology Letters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15</w:t>
      </w:r>
      <w:r w:rsidRPr="003F6100">
        <w:rPr>
          <w:rFonts w:ascii="Times New Roman" w:hAnsi="Times New Roman" w:cs="Times New Roman"/>
          <w:noProof/>
          <w:sz w:val="24"/>
          <w:szCs w:val="24"/>
        </w:rPr>
        <w:t>(4), 365–377. doi: 10.1111/j.1461-0248.2011.01736.x</w:t>
      </w:r>
    </w:p>
    <w:p w14:paraId="239BD7B8"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(January), 3339–3357. doi: 10.1111/mec.15164</w:t>
      </w:r>
    </w:p>
    <w:p w14:paraId="2CAF757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Bhatia, G., Patterson, N., Sankararaman, S., &amp; Price, A. L. (2013). Estimating and interpreting F. </w:t>
      </w:r>
      <w:r w:rsidRPr="003F6100">
        <w:rPr>
          <w:rFonts w:ascii="Times New Roman" w:hAnsi="Times New Roman" w:cs="Times New Roman"/>
          <w:i/>
          <w:iCs/>
          <w:noProof/>
          <w:sz w:val="24"/>
          <w:szCs w:val="24"/>
        </w:rPr>
        <w:t>Genome Research</w:t>
      </w:r>
      <w:r w:rsidRPr="003F6100">
        <w:rPr>
          <w:rFonts w:ascii="Times New Roman" w:hAnsi="Times New Roman" w:cs="Times New Roman"/>
          <w:noProof/>
          <w:sz w:val="24"/>
          <w:szCs w:val="24"/>
        </w:rPr>
        <w:t>, (2), 1–9. doi: 10.1101/gr.154831.113.23</w:t>
      </w:r>
    </w:p>
    <w:p w14:paraId="623A95AC"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Bolliger, J., Lander, T., &amp; Balkenhol, N. (2014). Landscape genetics since 2003: Status, challenges and future directions. </w:t>
      </w:r>
      <w:r w:rsidRPr="003F6100">
        <w:rPr>
          <w:rFonts w:ascii="Times New Roman" w:hAnsi="Times New Roman" w:cs="Times New Roman"/>
          <w:i/>
          <w:iCs/>
          <w:noProof/>
          <w:sz w:val="24"/>
          <w:szCs w:val="24"/>
        </w:rPr>
        <w:t>Landscape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29</w:t>
      </w:r>
      <w:r w:rsidRPr="003F6100">
        <w:rPr>
          <w:rFonts w:ascii="Times New Roman" w:hAnsi="Times New Roman" w:cs="Times New Roman"/>
          <w:noProof/>
          <w:sz w:val="24"/>
          <w:szCs w:val="24"/>
        </w:rPr>
        <w:t>(3), 361–366. doi: 10.1007/s10980-013-9982-x</w:t>
      </w:r>
    </w:p>
    <w:p w14:paraId="7C8CC4D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Bolnick, D. I., &amp; Nosil, P. (2007). Natural selection in populations subject to a migration load. </w:t>
      </w:r>
      <w:r w:rsidRPr="003F6100">
        <w:rPr>
          <w:rFonts w:ascii="Times New Roman" w:hAnsi="Times New Roman" w:cs="Times New Roman"/>
          <w:i/>
          <w:iCs/>
          <w:noProof/>
          <w:sz w:val="24"/>
          <w:szCs w:val="24"/>
        </w:rPr>
        <w:t>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61</w:t>
      </w:r>
      <w:r w:rsidRPr="003F6100">
        <w:rPr>
          <w:rFonts w:ascii="Times New Roman" w:hAnsi="Times New Roman" w:cs="Times New Roman"/>
          <w:noProof/>
          <w:sz w:val="24"/>
          <w:szCs w:val="24"/>
        </w:rPr>
        <w:t>(9), 2229–2243. doi: 10.1111/j.1558-5646.2007.00179.x</w:t>
      </w:r>
    </w:p>
    <w:p w14:paraId="3F6878BF"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Bradburd, G. S., &amp; Ralph, P. L. (2019). Spatial Population Genetics: It’s About Time. </w:t>
      </w:r>
      <w:r w:rsidRPr="003F6100">
        <w:rPr>
          <w:rFonts w:ascii="Times New Roman" w:hAnsi="Times New Roman" w:cs="Times New Roman"/>
          <w:i/>
          <w:iCs/>
          <w:noProof/>
          <w:sz w:val="24"/>
          <w:szCs w:val="24"/>
        </w:rPr>
        <w:t>Annual Review of Ecology, Evolution, and Systematics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50</w:t>
      </w:r>
      <w:r w:rsidRPr="003F6100">
        <w:rPr>
          <w:rFonts w:ascii="Times New Roman" w:hAnsi="Times New Roman" w:cs="Times New Roman"/>
          <w:noProof/>
          <w:sz w:val="24"/>
          <w:szCs w:val="24"/>
        </w:rPr>
        <w:t>(1), 427–449. doi: 10.1146/annurev-</w:t>
      </w:r>
      <w:r w:rsidRPr="003F6100">
        <w:rPr>
          <w:rFonts w:ascii="Times New Roman" w:hAnsi="Times New Roman" w:cs="Times New Roman"/>
          <w:noProof/>
          <w:sz w:val="24"/>
          <w:szCs w:val="24"/>
        </w:rPr>
        <w:lastRenderedPageBreak/>
        <w:t>ecolsys-110316-022659</w:t>
      </w:r>
    </w:p>
    <w:p w14:paraId="25ED0EF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Buschbom, J., Yanbaev, Y., &amp; Degen, B. (2011). Efficient long-distance gene flow into an isolated relict oak stand. </w:t>
      </w:r>
      <w:r w:rsidRPr="003F6100">
        <w:rPr>
          <w:rFonts w:ascii="Times New Roman" w:hAnsi="Times New Roman" w:cs="Times New Roman"/>
          <w:i/>
          <w:iCs/>
          <w:noProof/>
          <w:sz w:val="24"/>
          <w:szCs w:val="24"/>
        </w:rPr>
        <w:t>Journal of Heredity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102</w:t>
      </w:r>
      <w:r w:rsidRPr="003F6100">
        <w:rPr>
          <w:rFonts w:ascii="Times New Roman" w:hAnsi="Times New Roman" w:cs="Times New Roman"/>
          <w:noProof/>
          <w:sz w:val="24"/>
          <w:szCs w:val="24"/>
        </w:rPr>
        <w:t>(4), 464–472. doi: 10.1093/jhered/esr023</w:t>
      </w:r>
    </w:p>
    <w:p w14:paraId="126473A0"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27</w:t>
      </w:r>
      <w:r w:rsidRPr="003F6100">
        <w:rPr>
          <w:rFonts w:ascii="Times New Roman" w:hAnsi="Times New Roman" w:cs="Times New Roman"/>
          <w:noProof/>
          <w:sz w:val="24"/>
          <w:szCs w:val="24"/>
        </w:rPr>
        <w:t>(20), 3976–4010. doi: 10.1111/mec.14848</w:t>
      </w:r>
    </w:p>
    <w:p w14:paraId="32B47CB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3F6100">
        <w:rPr>
          <w:rFonts w:ascii="Times New Roman" w:hAnsi="Times New Roman" w:cs="Times New Roman"/>
          <w:i/>
          <w:iCs/>
          <w:noProof/>
          <w:sz w:val="24"/>
          <w:szCs w:val="24"/>
        </w:rPr>
        <w:t>Genome Research</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15</w:t>
      </w:r>
      <w:r w:rsidRPr="003F6100">
        <w:rPr>
          <w:rFonts w:ascii="Times New Roman" w:hAnsi="Times New Roman" w:cs="Times New Roman"/>
          <w:noProof/>
          <w:sz w:val="24"/>
          <w:szCs w:val="24"/>
        </w:rPr>
        <w:t>(11), 1496–1502. doi: 10.1101/gr.4107905</w:t>
      </w:r>
    </w:p>
    <w:p w14:paraId="51207BA6" w14:textId="77777777" w:rsidR="003F6100" w:rsidRPr="001A5615"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lang w:val="fr-CA"/>
        </w:rPr>
      </w:pPr>
      <w:r w:rsidRPr="003F6100">
        <w:rPr>
          <w:rFonts w:ascii="Times New Roman" w:hAnsi="Times New Roman" w:cs="Times New Roman"/>
          <w:noProof/>
          <w:sz w:val="24"/>
          <w:szCs w:val="24"/>
        </w:rPr>
        <w:t xml:space="preserve">Creech, T. G., Epps, C. W., Landguth, E. L., Wehausen, J. D., Crowhurst, R. S., Holton, B., &amp; Monello, R. J. (2017). Simulating the spread of selection-driven genotypes using landscape resistance models for desert bighorn sheep. </w:t>
      </w:r>
      <w:r w:rsidRPr="001A5615">
        <w:rPr>
          <w:rFonts w:ascii="Times New Roman" w:hAnsi="Times New Roman" w:cs="Times New Roman"/>
          <w:i/>
          <w:iCs/>
          <w:noProof/>
          <w:sz w:val="24"/>
          <w:szCs w:val="24"/>
          <w:lang w:val="fr-CA"/>
        </w:rPr>
        <w:t>PLoS ONE</w:t>
      </w:r>
      <w:r w:rsidRPr="001A5615">
        <w:rPr>
          <w:rFonts w:ascii="Times New Roman" w:hAnsi="Times New Roman" w:cs="Times New Roman"/>
          <w:noProof/>
          <w:sz w:val="24"/>
          <w:szCs w:val="24"/>
          <w:lang w:val="fr-CA"/>
        </w:rPr>
        <w:t xml:space="preserve">, </w:t>
      </w:r>
      <w:r w:rsidRPr="001A5615">
        <w:rPr>
          <w:rFonts w:ascii="Times New Roman" w:hAnsi="Times New Roman" w:cs="Times New Roman"/>
          <w:i/>
          <w:iCs/>
          <w:noProof/>
          <w:sz w:val="24"/>
          <w:szCs w:val="24"/>
          <w:lang w:val="fr-CA"/>
        </w:rPr>
        <w:t>12</w:t>
      </w:r>
      <w:r w:rsidRPr="001A5615">
        <w:rPr>
          <w:rFonts w:ascii="Times New Roman" w:hAnsi="Times New Roman" w:cs="Times New Roman"/>
          <w:noProof/>
          <w:sz w:val="24"/>
          <w:szCs w:val="24"/>
          <w:lang w:val="fr-CA"/>
        </w:rPr>
        <w:t>(5), 1–26. doi: 10.1371/journal.pone.0176960</w:t>
      </w:r>
    </w:p>
    <w:p w14:paraId="663477F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A5615">
        <w:rPr>
          <w:rFonts w:ascii="Times New Roman" w:hAnsi="Times New Roman" w:cs="Times New Roman"/>
          <w:noProof/>
          <w:sz w:val="24"/>
          <w:szCs w:val="24"/>
          <w:lang w:val="fr-CA"/>
        </w:rPr>
        <w:t xml:space="preserve">Cubry, P., Vigouroux, Y., &amp; François, O. (2017). </w:t>
      </w:r>
      <w:r w:rsidRPr="003F6100">
        <w:rPr>
          <w:rFonts w:ascii="Times New Roman" w:hAnsi="Times New Roman" w:cs="Times New Roman"/>
          <w:noProof/>
          <w:sz w:val="24"/>
          <w:szCs w:val="24"/>
        </w:rPr>
        <w:t xml:space="preserve">The Empirical Distribution of Singletons for Geographic Samples of DNA Sequences. </w:t>
      </w:r>
      <w:r w:rsidRPr="003F6100">
        <w:rPr>
          <w:rFonts w:ascii="Times New Roman" w:hAnsi="Times New Roman" w:cs="Times New Roman"/>
          <w:i/>
          <w:iCs/>
          <w:noProof/>
          <w:sz w:val="24"/>
          <w:szCs w:val="24"/>
        </w:rPr>
        <w:t>Frontiers in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8</w:t>
      </w:r>
      <w:r w:rsidRPr="003F6100">
        <w:rPr>
          <w:rFonts w:ascii="Times New Roman" w:hAnsi="Times New Roman" w:cs="Times New Roman"/>
          <w:noProof/>
          <w:sz w:val="24"/>
          <w:szCs w:val="24"/>
        </w:rPr>
        <w:t>(September), 1–10. doi: 10.3389/fgene.2017.00139</w:t>
      </w:r>
    </w:p>
    <w:p w14:paraId="05EBA883"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3F6100">
        <w:rPr>
          <w:rFonts w:ascii="Times New Roman" w:hAnsi="Times New Roman" w:cs="Times New Roman"/>
          <w:i/>
          <w:iCs/>
          <w:noProof/>
          <w:sz w:val="24"/>
          <w:szCs w:val="24"/>
        </w:rPr>
        <w:t>Molecular Ecology Notes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4</w:t>
      </w:r>
      <w:r w:rsidRPr="003F6100">
        <w:rPr>
          <w:rFonts w:ascii="Times New Roman" w:hAnsi="Times New Roman" w:cs="Times New Roman"/>
          <w:noProof/>
          <w:sz w:val="24"/>
          <w:szCs w:val="24"/>
        </w:rPr>
        <w:t>(1), 139–142. doi: 10.1046/j.1471-8286.2003.00582.x</w:t>
      </w:r>
    </w:p>
    <w:p w14:paraId="3CAC524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Dirzo, R., Young, H. S., Galetti, M., Ceballos, G., Isaac, N. J. B., &amp; Collen, B. (2014). Defaunation in the Antrhopocene. </w:t>
      </w:r>
      <w:r w:rsidRPr="003F6100">
        <w:rPr>
          <w:rFonts w:ascii="Times New Roman" w:hAnsi="Times New Roman" w:cs="Times New Roman"/>
          <w:i/>
          <w:iCs/>
          <w:noProof/>
          <w:sz w:val="24"/>
          <w:szCs w:val="24"/>
        </w:rPr>
        <w:t>Science</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401</w:t>
      </w:r>
      <w:r w:rsidRPr="003F6100">
        <w:rPr>
          <w:rFonts w:ascii="Times New Roman" w:hAnsi="Times New Roman" w:cs="Times New Roman"/>
          <w:noProof/>
          <w:sz w:val="24"/>
          <w:szCs w:val="24"/>
        </w:rPr>
        <w:t>(6195), 401–406. doi: 10.1126/science.1251817</w:t>
      </w:r>
    </w:p>
    <w:p w14:paraId="39DD3979"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3F6100">
        <w:rPr>
          <w:rFonts w:ascii="Times New Roman" w:hAnsi="Times New Roman" w:cs="Times New Roman"/>
          <w:i/>
          <w:iCs/>
          <w:noProof/>
          <w:sz w:val="24"/>
          <w:szCs w:val="24"/>
        </w:rPr>
        <w:t>Evolutionary Applications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w:t>
      </w:r>
      <w:r w:rsidRPr="003F6100">
        <w:rPr>
          <w:rFonts w:ascii="Times New Roman" w:hAnsi="Times New Roman" w:cs="Times New Roman"/>
          <w:noProof/>
          <w:sz w:val="24"/>
          <w:szCs w:val="24"/>
        </w:rPr>
        <w:t>(8), 1219–1230. doi: 10.1111/eva.12617</w:t>
      </w:r>
    </w:p>
    <w:p w14:paraId="76F29BF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Dray, S., Bauman, D., Blanchet, G., Borcard, D., Clappe, S., Guenard, G., … Wagner, H. H. (2019). </w:t>
      </w:r>
      <w:r w:rsidRPr="003F6100">
        <w:rPr>
          <w:rFonts w:ascii="Times New Roman" w:hAnsi="Times New Roman" w:cs="Times New Roman"/>
          <w:i/>
          <w:iCs/>
          <w:noProof/>
          <w:sz w:val="24"/>
          <w:szCs w:val="24"/>
        </w:rPr>
        <w:t>adespatial: Multivariate Multiscale Spatial Analysis.</w:t>
      </w:r>
      <w:r w:rsidRPr="003F6100">
        <w:rPr>
          <w:rFonts w:ascii="Times New Roman" w:hAnsi="Times New Roman" w:cs="Times New Roman"/>
          <w:noProof/>
          <w:sz w:val="24"/>
          <w:szCs w:val="24"/>
        </w:rPr>
        <w:t xml:space="preserve"> Retrieved from https://cran.r-project.org/package=adespatial</w:t>
      </w:r>
    </w:p>
    <w:p w14:paraId="545637BC"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19</w:t>
      </w:r>
      <w:r w:rsidRPr="003F6100">
        <w:rPr>
          <w:rFonts w:ascii="Times New Roman" w:hAnsi="Times New Roman" w:cs="Times New Roman"/>
          <w:noProof/>
          <w:sz w:val="24"/>
          <w:szCs w:val="24"/>
        </w:rPr>
        <w:t>(17), 3549–3564. doi: 10.1111/j.1365-294X.2010.04678.x</w:t>
      </w:r>
    </w:p>
    <w:p w14:paraId="0AA4FB7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Epps, C. W., &amp; Keyghobadi, N. (2015). Landscape genetics in a changing world: Disentangling historical and contemporary influences and inferring change.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24</w:t>
      </w:r>
      <w:r w:rsidRPr="003F6100">
        <w:rPr>
          <w:rFonts w:ascii="Times New Roman" w:hAnsi="Times New Roman" w:cs="Times New Roman"/>
          <w:noProof/>
          <w:sz w:val="24"/>
          <w:szCs w:val="24"/>
        </w:rPr>
        <w:t>(24), 6021–6040. doi: 10.1111/mec.13454</w:t>
      </w:r>
    </w:p>
    <w:p w14:paraId="764EF736"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Excoffier, L., Dupanloup, I., Huerta-Sánchez, E., Sousa, V. C., &amp; Foll, M. (2013). Robust Demographic Inference from Genomic and SNP Data. </w:t>
      </w:r>
      <w:r w:rsidRPr="003F6100">
        <w:rPr>
          <w:rFonts w:ascii="Times New Roman" w:hAnsi="Times New Roman" w:cs="Times New Roman"/>
          <w:i/>
          <w:iCs/>
          <w:noProof/>
          <w:sz w:val="24"/>
          <w:szCs w:val="24"/>
        </w:rPr>
        <w:t>PLoS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9</w:t>
      </w:r>
      <w:r w:rsidRPr="003F6100">
        <w:rPr>
          <w:rFonts w:ascii="Times New Roman" w:hAnsi="Times New Roman" w:cs="Times New Roman"/>
          <w:noProof/>
          <w:sz w:val="24"/>
          <w:szCs w:val="24"/>
        </w:rPr>
        <w:t>(10). doi: 10.1371/journal.pgen.1003905</w:t>
      </w:r>
    </w:p>
    <w:p w14:paraId="4E6ED8A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Forester, B. R., Jones, M. R., Joost, S., Landguth, E. L., &amp; Lasky, J. R. (2016). Detecting spatial genetic signatures of local adaptation in heterogeneous landscapes.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25</w:t>
      </w:r>
      <w:r w:rsidRPr="003F6100">
        <w:rPr>
          <w:rFonts w:ascii="Times New Roman" w:hAnsi="Times New Roman" w:cs="Times New Roman"/>
          <w:noProof/>
          <w:sz w:val="24"/>
          <w:szCs w:val="24"/>
        </w:rPr>
        <w:t>(1), 104–120. doi: 10.1111/mec.13476</w:t>
      </w:r>
    </w:p>
    <w:p w14:paraId="0D7AC9F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Gardner, R. H., &amp; Urban, D. L. (2007). Neutral models for testing landscape hypotheses. </w:t>
      </w:r>
      <w:r w:rsidRPr="003F6100">
        <w:rPr>
          <w:rFonts w:ascii="Times New Roman" w:hAnsi="Times New Roman" w:cs="Times New Roman"/>
          <w:i/>
          <w:iCs/>
          <w:noProof/>
          <w:sz w:val="24"/>
          <w:szCs w:val="24"/>
        </w:rPr>
        <w:t>Landscape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22</w:t>
      </w:r>
      <w:r w:rsidRPr="003F6100">
        <w:rPr>
          <w:rFonts w:ascii="Times New Roman" w:hAnsi="Times New Roman" w:cs="Times New Roman"/>
          <w:noProof/>
          <w:sz w:val="24"/>
          <w:szCs w:val="24"/>
        </w:rPr>
        <w:t>(1), 15–29. doi: 10.1007/s10980-006-9011-4</w:t>
      </w:r>
    </w:p>
    <w:p w14:paraId="3AA2411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3F6100">
        <w:rPr>
          <w:rFonts w:ascii="Times New Roman" w:hAnsi="Times New Roman" w:cs="Times New Roman"/>
          <w:i/>
          <w:iCs/>
          <w:noProof/>
          <w:sz w:val="24"/>
          <w:szCs w:val="24"/>
        </w:rPr>
        <w:t>Heredity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110</w:t>
      </w:r>
      <w:r w:rsidRPr="003F6100">
        <w:rPr>
          <w:rFonts w:ascii="Times New Roman" w:hAnsi="Times New Roman" w:cs="Times New Roman"/>
          <w:noProof/>
          <w:sz w:val="24"/>
          <w:szCs w:val="24"/>
        </w:rPr>
        <w:t>(5), 409–419. doi: 10.1038/hdy.2012.120</w:t>
      </w:r>
    </w:p>
    <w:p w14:paraId="7DA84368"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Guillaume, F., &amp; Rougemont, J. (2006). Nemo: An evolutionary and population genetics programming framework. </w:t>
      </w:r>
      <w:r w:rsidRPr="003F6100">
        <w:rPr>
          <w:rFonts w:ascii="Times New Roman" w:hAnsi="Times New Roman" w:cs="Times New Roman"/>
          <w:i/>
          <w:iCs/>
          <w:noProof/>
          <w:sz w:val="24"/>
          <w:szCs w:val="24"/>
        </w:rPr>
        <w:t>Bioinformatics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22</w:t>
      </w:r>
      <w:r w:rsidRPr="003F6100">
        <w:rPr>
          <w:rFonts w:ascii="Times New Roman" w:hAnsi="Times New Roman" w:cs="Times New Roman"/>
          <w:noProof/>
          <w:sz w:val="24"/>
          <w:szCs w:val="24"/>
        </w:rPr>
        <w:t>(20), 2556–2557. doi: 10.1093/bioinformatics/btl415</w:t>
      </w:r>
    </w:p>
    <w:p w14:paraId="3B2ED92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3F6100">
        <w:rPr>
          <w:rFonts w:ascii="Times New Roman" w:hAnsi="Times New Roman" w:cs="Times New Roman"/>
          <w:i/>
          <w:iCs/>
          <w:noProof/>
          <w:sz w:val="24"/>
          <w:szCs w:val="24"/>
        </w:rPr>
        <w:t>PLoS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5</w:t>
      </w:r>
      <w:r w:rsidRPr="003F6100">
        <w:rPr>
          <w:rFonts w:ascii="Times New Roman" w:hAnsi="Times New Roman" w:cs="Times New Roman"/>
          <w:noProof/>
          <w:sz w:val="24"/>
          <w:szCs w:val="24"/>
        </w:rPr>
        <w:t>(10). doi: 10.1371/journal.pgen.1000695</w:t>
      </w:r>
    </w:p>
    <w:p w14:paraId="0F4C93A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Haller, B. C., &amp; Messer, P. W. (2019). SLiM 3: Forward Genetic Simulations Beyond the Wright-Fisher Model. </w:t>
      </w:r>
      <w:r w:rsidRPr="003F6100">
        <w:rPr>
          <w:rFonts w:ascii="Times New Roman" w:hAnsi="Times New Roman" w:cs="Times New Roman"/>
          <w:i/>
          <w:iCs/>
          <w:noProof/>
          <w:sz w:val="24"/>
          <w:szCs w:val="24"/>
        </w:rPr>
        <w:t>Molecular Biology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36</w:t>
      </w:r>
      <w:r w:rsidRPr="003F6100">
        <w:rPr>
          <w:rFonts w:ascii="Times New Roman" w:hAnsi="Times New Roman" w:cs="Times New Roman"/>
          <w:noProof/>
          <w:sz w:val="24"/>
          <w:szCs w:val="24"/>
        </w:rPr>
        <w:t>(3), 632–637. doi: 10.1093/molbev/msy228</w:t>
      </w:r>
    </w:p>
    <w:p w14:paraId="07C8CD7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3F6100">
        <w:rPr>
          <w:rFonts w:ascii="Times New Roman" w:hAnsi="Times New Roman" w:cs="Times New Roman"/>
          <w:i/>
          <w:iCs/>
          <w:noProof/>
          <w:sz w:val="24"/>
          <w:szCs w:val="24"/>
        </w:rPr>
        <w:t>Evolutionary Applications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7</w:t>
      </w:r>
      <w:r w:rsidRPr="003F6100">
        <w:rPr>
          <w:rFonts w:ascii="Times New Roman" w:hAnsi="Times New Roman" w:cs="Times New Roman"/>
          <w:noProof/>
          <w:sz w:val="24"/>
          <w:szCs w:val="24"/>
        </w:rPr>
        <w:t>(9), 1008–1025. doi: 10.1111/eva.12149</w:t>
      </w:r>
    </w:p>
    <w:p w14:paraId="3D7E8A9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James, P. M. a., Fleming, R. a., &amp; Fortin, M. J. (2010). Identifying significant scale-specific spatial boundaries using wavelets and null models: Spruce budworm defoliation in Ontario, Canada as a case study. </w:t>
      </w:r>
      <w:r w:rsidRPr="003F6100">
        <w:rPr>
          <w:rFonts w:ascii="Times New Roman" w:hAnsi="Times New Roman" w:cs="Times New Roman"/>
          <w:i/>
          <w:iCs/>
          <w:noProof/>
          <w:sz w:val="24"/>
          <w:szCs w:val="24"/>
        </w:rPr>
        <w:t>Landscape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25</w:t>
      </w:r>
      <w:r w:rsidRPr="003F6100">
        <w:rPr>
          <w:rFonts w:ascii="Times New Roman" w:hAnsi="Times New Roman" w:cs="Times New Roman"/>
          <w:noProof/>
          <w:sz w:val="24"/>
          <w:szCs w:val="24"/>
        </w:rPr>
        <w:t>, 873–887. doi: 10.1007/s10980-010-9465-2</w:t>
      </w:r>
    </w:p>
    <w:p w14:paraId="3A96DC0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Jombart, T. (2008). Adegenet: A R package for the multivariate analysis of genetic markers. </w:t>
      </w:r>
      <w:r w:rsidRPr="003F6100">
        <w:rPr>
          <w:rFonts w:ascii="Times New Roman" w:hAnsi="Times New Roman" w:cs="Times New Roman"/>
          <w:i/>
          <w:iCs/>
          <w:noProof/>
          <w:sz w:val="24"/>
          <w:szCs w:val="24"/>
        </w:rPr>
        <w:t>Bioinformatics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24</w:t>
      </w:r>
      <w:r w:rsidRPr="003F6100">
        <w:rPr>
          <w:rFonts w:ascii="Times New Roman" w:hAnsi="Times New Roman" w:cs="Times New Roman"/>
          <w:noProof/>
          <w:sz w:val="24"/>
          <w:szCs w:val="24"/>
        </w:rPr>
        <w:t>(11), 1403–1405. doi: 10.1093/bioinformatics/btn129</w:t>
      </w:r>
    </w:p>
    <w:p w14:paraId="4884D6D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Jombart, T., &amp; Ahmed, I. (2011). adegenet 1.3-1: New tools for the analysis of genome-wide SNP data. </w:t>
      </w:r>
      <w:r w:rsidRPr="003F6100">
        <w:rPr>
          <w:rFonts w:ascii="Times New Roman" w:hAnsi="Times New Roman" w:cs="Times New Roman"/>
          <w:i/>
          <w:iCs/>
          <w:noProof/>
          <w:sz w:val="24"/>
          <w:szCs w:val="24"/>
        </w:rPr>
        <w:t>Bioinformatics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27</w:t>
      </w:r>
      <w:r w:rsidRPr="003F6100">
        <w:rPr>
          <w:rFonts w:ascii="Times New Roman" w:hAnsi="Times New Roman" w:cs="Times New Roman"/>
          <w:noProof/>
          <w:sz w:val="24"/>
          <w:szCs w:val="24"/>
        </w:rPr>
        <w:t>(21), 3070–3071. doi: 10.1093/bioinformatics/btr521</w:t>
      </w:r>
    </w:p>
    <w:p w14:paraId="2B3289B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3F6100">
        <w:rPr>
          <w:rFonts w:ascii="Times New Roman" w:hAnsi="Times New Roman" w:cs="Times New Roman"/>
          <w:i/>
          <w:iCs/>
          <w:noProof/>
          <w:sz w:val="24"/>
          <w:szCs w:val="24"/>
        </w:rPr>
        <w:t>Journal of the American Statistical Association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0</w:t>
      </w:r>
      <w:r w:rsidRPr="003F6100">
        <w:rPr>
          <w:rFonts w:ascii="Times New Roman" w:hAnsi="Times New Roman" w:cs="Times New Roman"/>
          <w:noProof/>
          <w:sz w:val="24"/>
          <w:szCs w:val="24"/>
        </w:rPr>
        <w:t>(0), 1–16. doi: 10.1080/01621459.2019.1635482</w:t>
      </w:r>
    </w:p>
    <w:p w14:paraId="4CDAE1C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3F6100">
        <w:rPr>
          <w:rFonts w:ascii="Times New Roman" w:hAnsi="Times New Roman" w:cs="Times New Roman"/>
          <w:i/>
          <w:iCs/>
          <w:noProof/>
          <w:sz w:val="24"/>
          <w:szCs w:val="24"/>
        </w:rPr>
        <w:t>Ecology Letters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15</w:t>
      </w:r>
      <w:r w:rsidRPr="003F6100">
        <w:rPr>
          <w:rFonts w:ascii="Times New Roman" w:hAnsi="Times New Roman" w:cs="Times New Roman"/>
          <w:noProof/>
          <w:sz w:val="24"/>
          <w:szCs w:val="24"/>
        </w:rPr>
        <w:t>(4), 378–392. doi: 10.1111/j.1461-0248.2012.01746.x</w:t>
      </w:r>
    </w:p>
    <w:p w14:paraId="0413E856"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Bearlin, A., Day, C. C., &amp; Dunham, J. (2016). CDMetaPOP: an individual-based, eco-evolutionary model for spatially-explicit simulation of landscape demogenetics.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doi: 10.1111/2041-210X.12608</w:t>
      </w:r>
    </w:p>
    <w:p w14:paraId="0AC4CD5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8</w:t>
      </w:r>
      <w:r w:rsidRPr="003F6100">
        <w:rPr>
          <w:rFonts w:ascii="Times New Roman" w:hAnsi="Times New Roman" w:cs="Times New Roman"/>
          <w:noProof/>
          <w:sz w:val="24"/>
          <w:szCs w:val="24"/>
        </w:rPr>
        <w:t>(1), 4–11. doi: 10.1111/2041-210X.12608</w:t>
      </w:r>
    </w:p>
    <w:p w14:paraId="3B06288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19</w:t>
      </w:r>
      <w:r w:rsidRPr="003F6100">
        <w:rPr>
          <w:rFonts w:ascii="Times New Roman" w:hAnsi="Times New Roman" w:cs="Times New Roman"/>
          <w:noProof/>
          <w:sz w:val="24"/>
          <w:szCs w:val="24"/>
        </w:rPr>
        <w:t>, 4179–4191. doi: 10.1111/j.1365-294X.2010.04808.x</w:t>
      </w:r>
    </w:p>
    <w:p w14:paraId="764D4CB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Cushman, S. a, Murphy, M. a, &amp; Luikart, G. (2010). Relationships between </w:t>
      </w:r>
      <w:r w:rsidRPr="003F6100">
        <w:rPr>
          <w:rFonts w:ascii="Times New Roman" w:hAnsi="Times New Roman" w:cs="Times New Roman"/>
          <w:noProof/>
          <w:sz w:val="24"/>
          <w:szCs w:val="24"/>
        </w:rPr>
        <w:lastRenderedPageBreak/>
        <w:t xml:space="preserve">migration rates and landscape resistance assessed using individual-based simulations. </w:t>
      </w:r>
      <w:r w:rsidRPr="003F6100">
        <w:rPr>
          <w:rFonts w:ascii="Times New Roman" w:hAnsi="Times New Roman" w:cs="Times New Roman"/>
          <w:i/>
          <w:iCs/>
          <w:noProof/>
          <w:sz w:val="24"/>
          <w:szCs w:val="24"/>
        </w:rPr>
        <w:t>Molecular Ecology Resources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10</w:t>
      </w:r>
      <w:r w:rsidRPr="003F6100">
        <w:rPr>
          <w:rFonts w:ascii="Times New Roman" w:hAnsi="Times New Roman" w:cs="Times New Roman"/>
          <w:noProof/>
          <w:sz w:val="24"/>
          <w:szCs w:val="24"/>
        </w:rPr>
        <w:t>(5), 854–862. doi: 10.1111/j.1755-0998.2010.02867.x</w:t>
      </w:r>
    </w:p>
    <w:p w14:paraId="0E84A628"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3F6100">
        <w:rPr>
          <w:rFonts w:ascii="Times New Roman" w:hAnsi="Times New Roman" w:cs="Times New Roman"/>
          <w:i/>
          <w:iCs/>
          <w:noProof/>
          <w:sz w:val="24"/>
          <w:szCs w:val="24"/>
        </w:rPr>
        <w:t>Frontiers in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8</w:t>
      </w:r>
      <w:r w:rsidRPr="003F6100">
        <w:rPr>
          <w:rFonts w:ascii="Times New Roman" w:hAnsi="Times New Roman" w:cs="Times New Roman"/>
          <w:noProof/>
          <w:sz w:val="24"/>
          <w:szCs w:val="24"/>
        </w:rPr>
        <w:t>(FEB), 1–12. doi: 10.3389/fgene.2017.00009</w:t>
      </w:r>
    </w:p>
    <w:p w14:paraId="11E6FD50"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3F6100">
        <w:rPr>
          <w:rFonts w:ascii="Times New Roman" w:hAnsi="Times New Roman" w:cs="Times New Roman"/>
          <w:i/>
          <w:iCs/>
          <w:noProof/>
          <w:sz w:val="24"/>
          <w:szCs w:val="24"/>
        </w:rPr>
        <w:t>Evolutionary Applications</w:t>
      </w:r>
      <w:r w:rsidRPr="003F6100">
        <w:rPr>
          <w:rFonts w:ascii="Times New Roman" w:hAnsi="Times New Roman" w:cs="Times New Roman"/>
          <w:noProof/>
          <w:sz w:val="24"/>
          <w:szCs w:val="24"/>
        </w:rPr>
        <w:t>, (July), 1–15. doi: 10.1111/eva.12852</w:t>
      </w:r>
    </w:p>
    <w:p w14:paraId="6590A30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Legendre, P. (2019a). A temporal beta-diversity index to identify sites that have changed in exceptional ways in space–time surveys. </w:t>
      </w:r>
      <w:r w:rsidRPr="003F6100">
        <w:rPr>
          <w:rFonts w:ascii="Times New Roman" w:hAnsi="Times New Roman" w:cs="Times New Roman"/>
          <w:i/>
          <w:iCs/>
          <w:noProof/>
          <w:sz w:val="24"/>
          <w:szCs w:val="24"/>
        </w:rPr>
        <w:t>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9</w:t>
      </w:r>
      <w:r w:rsidRPr="003F6100">
        <w:rPr>
          <w:rFonts w:ascii="Times New Roman" w:hAnsi="Times New Roman" w:cs="Times New Roman"/>
          <w:noProof/>
          <w:sz w:val="24"/>
          <w:szCs w:val="24"/>
        </w:rPr>
        <w:t>(6), 3500–3514. doi: 10.1002/ece3.4984</w:t>
      </w:r>
    </w:p>
    <w:p w14:paraId="78CC246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Legendre, P. (2019b). A temporal beta‐diversity index to identify sites that have changed in exceptional ways in space-time surveys. </w:t>
      </w:r>
      <w:r w:rsidRPr="003F6100">
        <w:rPr>
          <w:rFonts w:ascii="Times New Roman" w:hAnsi="Times New Roman" w:cs="Times New Roman"/>
          <w:i/>
          <w:iCs/>
          <w:noProof/>
          <w:sz w:val="24"/>
          <w:szCs w:val="24"/>
        </w:rPr>
        <w:t>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9</w:t>
      </w:r>
      <w:r w:rsidRPr="003F6100">
        <w:rPr>
          <w:rFonts w:ascii="Times New Roman" w:hAnsi="Times New Roman" w:cs="Times New Roman"/>
          <w:noProof/>
          <w:sz w:val="24"/>
          <w:szCs w:val="24"/>
        </w:rPr>
        <w:t>, 3500–3514. doi: 10.1002/ece3.4984</w:t>
      </w:r>
    </w:p>
    <w:p w14:paraId="4A9C845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Legendre, P., &amp; Gauthier, O. (2014). Statistical methods for temporal and space-time analysis of community composition data. </w:t>
      </w:r>
      <w:r w:rsidRPr="003F6100">
        <w:rPr>
          <w:rFonts w:ascii="Times New Roman" w:hAnsi="Times New Roman" w:cs="Times New Roman"/>
          <w:i/>
          <w:iCs/>
          <w:noProof/>
          <w:sz w:val="24"/>
          <w:szCs w:val="24"/>
        </w:rPr>
        <w:t>Proceedings of the Royal Society B: Biological Sciences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281</w:t>
      </w:r>
      <w:r w:rsidRPr="003F6100">
        <w:rPr>
          <w:rFonts w:ascii="Times New Roman" w:hAnsi="Times New Roman" w:cs="Times New Roman"/>
          <w:noProof/>
          <w:sz w:val="24"/>
          <w:szCs w:val="24"/>
        </w:rPr>
        <w:t>(1778). doi: 10.1098/rspb.2013.2728</w:t>
      </w:r>
    </w:p>
    <w:p w14:paraId="718DD50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3F6100">
        <w:rPr>
          <w:rFonts w:ascii="Times New Roman" w:hAnsi="Times New Roman" w:cs="Times New Roman"/>
          <w:i/>
          <w:iCs/>
          <w:noProof/>
          <w:sz w:val="24"/>
          <w:szCs w:val="24"/>
        </w:rPr>
        <w:t>Evolutionary Applications</w:t>
      </w:r>
      <w:r w:rsidRPr="003F6100">
        <w:rPr>
          <w:rFonts w:ascii="Times New Roman" w:hAnsi="Times New Roman" w:cs="Times New Roman"/>
          <w:noProof/>
          <w:sz w:val="24"/>
          <w:szCs w:val="24"/>
        </w:rPr>
        <w:t>, (April), 1–8. doi: 10.1111/eva.12810</w:t>
      </w:r>
    </w:p>
    <w:p w14:paraId="69330639"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Lepais, O., Chancerel, E., Boury, C., Salin, F., Manicki, A., Taillebois, L., … Guichoux, E. (2019). Fast sequence-based microsatellite genotyping development workflow for any non-model species. </w:t>
      </w:r>
      <w:r w:rsidRPr="003F6100">
        <w:rPr>
          <w:rFonts w:ascii="Times New Roman" w:hAnsi="Times New Roman" w:cs="Times New Roman"/>
          <w:i/>
          <w:iCs/>
          <w:noProof/>
          <w:sz w:val="24"/>
          <w:szCs w:val="24"/>
        </w:rPr>
        <w:t>BioRxiv</w:t>
      </w:r>
      <w:r w:rsidRPr="003F6100">
        <w:rPr>
          <w:rFonts w:ascii="Times New Roman" w:hAnsi="Times New Roman" w:cs="Times New Roman"/>
          <w:noProof/>
          <w:sz w:val="24"/>
          <w:szCs w:val="24"/>
        </w:rPr>
        <w:t>, 649772. doi: 10.1101/649772</w:t>
      </w:r>
    </w:p>
    <w:p w14:paraId="6582A30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Lowe, W. H., &amp; Allendorf, F. W. (2010). What can genetics tell us about population connectivity?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19</w:t>
      </w:r>
      <w:r w:rsidRPr="003F6100">
        <w:rPr>
          <w:rFonts w:ascii="Times New Roman" w:hAnsi="Times New Roman" w:cs="Times New Roman"/>
          <w:noProof/>
          <w:sz w:val="24"/>
          <w:szCs w:val="24"/>
        </w:rPr>
        <w:t>(15), 3038–3051. doi: 10.1111/j.1365-294X.2010.04688.x</w:t>
      </w:r>
    </w:p>
    <w:p w14:paraId="5FB53A1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Manel, S., &amp; Holderegger, R. (2013). Ten years of landscape genetics. </w:t>
      </w:r>
      <w:r w:rsidRPr="003F6100">
        <w:rPr>
          <w:rFonts w:ascii="Times New Roman" w:hAnsi="Times New Roman" w:cs="Times New Roman"/>
          <w:i/>
          <w:iCs/>
          <w:noProof/>
          <w:sz w:val="24"/>
          <w:szCs w:val="24"/>
        </w:rPr>
        <w:t>Trends in Ecology &amp;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w:t>
      </w:r>
      <w:r w:rsidRPr="003F6100">
        <w:rPr>
          <w:rFonts w:ascii="Times New Roman" w:hAnsi="Times New Roman" w:cs="Times New Roman"/>
          <w:noProof/>
          <w:sz w:val="24"/>
          <w:szCs w:val="24"/>
        </w:rPr>
        <w:t>(10), 614–621. doi: 10.1016/j.tree.2013.05.012</w:t>
      </w:r>
    </w:p>
    <w:p w14:paraId="4681F8B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Manel, S., Schwartz, M. K., Luikart, G., &amp; Taberlet, P. (2003). Landscape genetics: combining landscape ecology and population genetics. </w:t>
      </w:r>
      <w:r w:rsidRPr="003F6100">
        <w:rPr>
          <w:rFonts w:ascii="Times New Roman" w:hAnsi="Times New Roman" w:cs="Times New Roman"/>
          <w:i/>
          <w:iCs/>
          <w:noProof/>
          <w:sz w:val="24"/>
          <w:szCs w:val="24"/>
        </w:rPr>
        <w:t>Trends in Ecology &amp;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18</w:t>
      </w:r>
      <w:r w:rsidRPr="003F6100">
        <w:rPr>
          <w:rFonts w:ascii="Times New Roman" w:hAnsi="Times New Roman" w:cs="Times New Roman"/>
          <w:noProof/>
          <w:sz w:val="24"/>
          <w:szCs w:val="24"/>
        </w:rPr>
        <w:t>(4), 189–197. doi: 10.1016/S0169-5347(03)00008-9</w:t>
      </w:r>
    </w:p>
    <w:p w14:paraId="033064F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8</w:t>
      </w:r>
      <w:r w:rsidRPr="003F6100">
        <w:rPr>
          <w:rFonts w:ascii="Times New Roman" w:hAnsi="Times New Roman" w:cs="Times New Roman"/>
          <w:noProof/>
          <w:sz w:val="24"/>
          <w:szCs w:val="24"/>
        </w:rPr>
        <w:t>(10), 1253–1264. doi: 10.1111/2041-210X.12799</w:t>
      </w:r>
    </w:p>
    <w:p w14:paraId="729D5C2C"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3F6100">
        <w:rPr>
          <w:rFonts w:ascii="Times New Roman" w:hAnsi="Times New Roman" w:cs="Times New Roman"/>
          <w:i/>
          <w:iCs/>
          <w:noProof/>
          <w:sz w:val="24"/>
          <w:szCs w:val="24"/>
        </w:rPr>
        <w:t>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166</w:t>
      </w:r>
      <w:r w:rsidRPr="003F6100">
        <w:rPr>
          <w:rFonts w:ascii="Times New Roman" w:hAnsi="Times New Roman" w:cs="Times New Roman"/>
          <w:noProof/>
          <w:sz w:val="24"/>
          <w:szCs w:val="24"/>
        </w:rPr>
        <w:t>(1), 351–372. doi: 10.1534/genetics.166.1.351</w:t>
      </w:r>
    </w:p>
    <w:p w14:paraId="19E5F009"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3F6100">
        <w:rPr>
          <w:rFonts w:ascii="Times New Roman" w:hAnsi="Times New Roman" w:cs="Times New Roman"/>
          <w:i/>
          <w:iCs/>
          <w:noProof/>
          <w:sz w:val="24"/>
          <w:szCs w:val="24"/>
        </w:rPr>
        <w:t>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111</w:t>
      </w:r>
      <w:r w:rsidRPr="003F6100">
        <w:rPr>
          <w:rFonts w:ascii="Times New Roman" w:hAnsi="Times New Roman" w:cs="Times New Roman"/>
          <w:noProof/>
          <w:sz w:val="24"/>
          <w:szCs w:val="24"/>
        </w:rPr>
        <w:t xml:space="preserve">(3), 675–689. Retrieved from </w:t>
      </w:r>
      <w:r w:rsidRPr="003F6100">
        <w:rPr>
          <w:rFonts w:ascii="Times New Roman" w:hAnsi="Times New Roman" w:cs="Times New Roman"/>
          <w:noProof/>
          <w:sz w:val="24"/>
          <w:szCs w:val="24"/>
        </w:rPr>
        <w:lastRenderedPageBreak/>
        <w:t>https://www.ncbi.nlm.nih.gov/pmc/articles/PMC1202664/pdf/675.pdf</w:t>
      </w:r>
    </w:p>
    <w:p w14:paraId="253650F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3F6100">
        <w:rPr>
          <w:rFonts w:ascii="Times New Roman" w:hAnsi="Times New Roman" w:cs="Times New Roman"/>
          <w:i/>
          <w:iCs/>
          <w:noProof/>
          <w:sz w:val="24"/>
          <w:szCs w:val="24"/>
        </w:rPr>
        <w:t>PLoS Neglected Tropical Diseases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w:t>
      </w:r>
      <w:r w:rsidRPr="003F6100">
        <w:rPr>
          <w:rFonts w:ascii="Times New Roman" w:hAnsi="Times New Roman" w:cs="Times New Roman"/>
          <w:noProof/>
          <w:sz w:val="24"/>
          <w:szCs w:val="24"/>
        </w:rPr>
        <w:t>(4), 1–27. doi: 10.1371/journal.pntd.0005546</w:t>
      </w:r>
    </w:p>
    <w:p w14:paraId="2FCD5A2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3F6100">
        <w:rPr>
          <w:rFonts w:ascii="Times New Roman" w:hAnsi="Times New Roman" w:cs="Times New Roman"/>
          <w:i/>
          <w:iCs/>
          <w:noProof/>
          <w:sz w:val="24"/>
          <w:szCs w:val="24"/>
        </w:rPr>
        <w:t>Genome</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13</w:t>
      </w:r>
      <w:r w:rsidRPr="003F6100">
        <w:rPr>
          <w:rFonts w:ascii="Times New Roman" w:hAnsi="Times New Roman" w:cs="Times New Roman"/>
          <w:noProof/>
          <w:sz w:val="24"/>
          <w:szCs w:val="24"/>
        </w:rPr>
        <w:t>(July), 1–13. doi: 10.1139/gen-2019-0004</w:t>
      </w:r>
    </w:p>
    <w:p w14:paraId="7407F05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7</w:t>
      </w:r>
      <w:r w:rsidRPr="003F6100">
        <w:rPr>
          <w:rFonts w:ascii="Times New Roman" w:hAnsi="Times New Roman" w:cs="Times New Roman"/>
          <w:noProof/>
          <w:sz w:val="24"/>
          <w:szCs w:val="24"/>
        </w:rPr>
        <w:t>(1), 80–89. doi: 10.1111/2041-210X.12466</w:t>
      </w:r>
    </w:p>
    <w:p w14:paraId="6F9B3A13"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3F6100">
        <w:rPr>
          <w:rFonts w:ascii="Times New Roman" w:hAnsi="Times New Roman" w:cs="Times New Roman"/>
          <w:i/>
          <w:iCs/>
          <w:noProof/>
          <w:sz w:val="24"/>
          <w:szCs w:val="24"/>
        </w:rPr>
        <w:t>Proceedings of the Royal Society B: Biological Sciences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283</w:t>
      </w:r>
      <w:r w:rsidRPr="003F6100">
        <w:rPr>
          <w:rFonts w:ascii="Times New Roman" w:hAnsi="Times New Roman" w:cs="Times New Roman"/>
          <w:noProof/>
          <w:sz w:val="24"/>
          <w:szCs w:val="24"/>
        </w:rPr>
        <w:t>(1831), 1–8. doi: 10.1098/rspb.2016.0668</w:t>
      </w:r>
    </w:p>
    <w:p w14:paraId="310FE569"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Paradis, E. (2010). Pegas: An R package for population genetics with an integrated-modular approach. </w:t>
      </w:r>
      <w:r w:rsidRPr="003F6100">
        <w:rPr>
          <w:rFonts w:ascii="Times New Roman" w:hAnsi="Times New Roman" w:cs="Times New Roman"/>
          <w:i/>
          <w:iCs/>
          <w:noProof/>
          <w:sz w:val="24"/>
          <w:szCs w:val="24"/>
        </w:rPr>
        <w:t>Bioinformatics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26</w:t>
      </w:r>
      <w:r w:rsidRPr="003F6100">
        <w:rPr>
          <w:rFonts w:ascii="Times New Roman" w:hAnsi="Times New Roman" w:cs="Times New Roman"/>
          <w:noProof/>
          <w:sz w:val="24"/>
          <w:szCs w:val="24"/>
        </w:rPr>
        <w:t>(3), 419–420. doi: 10.1093/bioinformatics/btp696</w:t>
      </w:r>
    </w:p>
    <w:p w14:paraId="49E0C66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Paz-Vinas, I., Loot, G., Stevens, V. M., &amp; Blanchet, S. (2015). Evolutionary processes driving spatial patterns of intraspecific genetic diversity in river ecosystems.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24</w:t>
      </w:r>
      <w:r w:rsidRPr="003F6100">
        <w:rPr>
          <w:rFonts w:ascii="Times New Roman" w:hAnsi="Times New Roman" w:cs="Times New Roman"/>
          <w:noProof/>
          <w:sz w:val="24"/>
          <w:szCs w:val="24"/>
        </w:rPr>
        <w:t>(18), 4586–4604. doi: 10.1111/mec.13345</w:t>
      </w:r>
    </w:p>
    <w:p w14:paraId="4F27844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Poff, N. L. R., Larson, E. I., Salerno, P. E., Morton, S. G., Kondratieff, B. C., Flecker, A. S., … Funk, W. C. (2018). Extreme streams: species persistence and genomic change in montane insect populations across a flooding gradient. </w:t>
      </w:r>
      <w:r w:rsidRPr="003F6100">
        <w:rPr>
          <w:rFonts w:ascii="Times New Roman" w:hAnsi="Times New Roman" w:cs="Times New Roman"/>
          <w:i/>
          <w:iCs/>
          <w:noProof/>
          <w:sz w:val="24"/>
          <w:szCs w:val="24"/>
        </w:rPr>
        <w:t>Ecology Letters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21</w:t>
      </w:r>
      <w:r w:rsidRPr="003F6100">
        <w:rPr>
          <w:rFonts w:ascii="Times New Roman" w:hAnsi="Times New Roman" w:cs="Times New Roman"/>
          <w:noProof/>
          <w:sz w:val="24"/>
          <w:szCs w:val="24"/>
        </w:rPr>
        <w:t>(4), 525–535. doi: 10.1111/ele.12918</w:t>
      </w:r>
    </w:p>
    <w:p w14:paraId="3A09859C"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 Core Team. (2019). </w:t>
      </w:r>
      <w:r w:rsidRPr="003F6100">
        <w:rPr>
          <w:rFonts w:ascii="Times New Roman" w:hAnsi="Times New Roman" w:cs="Times New Roman"/>
          <w:i/>
          <w:iCs/>
          <w:noProof/>
          <w:sz w:val="24"/>
          <w:szCs w:val="24"/>
        </w:rPr>
        <w:t>R: A language and environment for statistical computing</w:t>
      </w:r>
      <w:r w:rsidRPr="003F6100">
        <w:rPr>
          <w:rFonts w:ascii="Times New Roman" w:hAnsi="Times New Roman" w:cs="Times New Roman"/>
          <w:noProof/>
          <w:sz w:val="24"/>
          <w:szCs w:val="24"/>
        </w:rPr>
        <w:t>. Retrieved from https://www.r-project.org/</w:t>
      </w:r>
    </w:p>
    <w:p w14:paraId="1A577CE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Rogers, J. S. (1972). Measures of genetic similarity and genetic distances. In M. R. Wheeler (Ed.), </w:t>
      </w:r>
      <w:r w:rsidRPr="003F6100">
        <w:rPr>
          <w:rFonts w:ascii="Times New Roman" w:hAnsi="Times New Roman" w:cs="Times New Roman"/>
          <w:i/>
          <w:iCs/>
          <w:noProof/>
          <w:sz w:val="24"/>
          <w:szCs w:val="24"/>
        </w:rPr>
        <w:t>Studies in Genetics VII</w:t>
      </w:r>
      <w:r w:rsidRPr="003F6100">
        <w:rPr>
          <w:rFonts w:ascii="Times New Roman" w:hAnsi="Times New Roman" w:cs="Times New Roman"/>
          <w:noProof/>
          <w:sz w:val="24"/>
          <w:szCs w:val="24"/>
        </w:rPr>
        <w:t xml:space="preserve"> (pp. 145–153). Austin: The University of Texas.</w:t>
      </w:r>
    </w:p>
    <w:p w14:paraId="295F6B7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Rousset, F. (1997). Genetic Differentiation and Estimation of Gene Flow from FStatistics Under Isolation by Distance. </w:t>
      </w:r>
      <w:r w:rsidRPr="003F6100">
        <w:rPr>
          <w:rFonts w:ascii="Times New Roman" w:hAnsi="Times New Roman" w:cs="Times New Roman"/>
          <w:i/>
          <w:iCs/>
          <w:noProof/>
          <w:sz w:val="24"/>
          <w:szCs w:val="24"/>
        </w:rPr>
        <w:t>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145</w:t>
      </w:r>
      <w:r w:rsidRPr="003F6100">
        <w:rPr>
          <w:rFonts w:ascii="Times New Roman" w:hAnsi="Times New Roman" w:cs="Times New Roman"/>
          <w:noProof/>
          <w:sz w:val="24"/>
          <w:szCs w:val="24"/>
        </w:rPr>
        <w:t>(4), 1219–1228.</w:t>
      </w:r>
    </w:p>
    <w:p w14:paraId="4CAB250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Rousset, F., &amp; Ferdy, J.-B. (2014). Testing environmental and genetic effects in the presence of spatial autocorrelation. </w:t>
      </w:r>
      <w:r w:rsidRPr="003F6100">
        <w:rPr>
          <w:rFonts w:ascii="Times New Roman" w:hAnsi="Times New Roman" w:cs="Times New Roman"/>
          <w:i/>
          <w:iCs/>
          <w:noProof/>
          <w:sz w:val="24"/>
          <w:szCs w:val="24"/>
        </w:rPr>
        <w:t>Ecography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37</w:t>
      </w:r>
      <w:r w:rsidRPr="003F6100">
        <w:rPr>
          <w:rFonts w:ascii="Times New Roman" w:hAnsi="Times New Roman" w:cs="Times New Roman"/>
          <w:noProof/>
          <w:sz w:val="24"/>
          <w:szCs w:val="24"/>
        </w:rPr>
        <w:t>(December 2013), 781–790. doi: 10.1111/ecog.00566</w:t>
      </w:r>
    </w:p>
    <w:p w14:paraId="5CB9359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RStudio Team. (2018). </w:t>
      </w:r>
      <w:r w:rsidRPr="003F6100">
        <w:rPr>
          <w:rFonts w:ascii="Times New Roman" w:hAnsi="Times New Roman" w:cs="Times New Roman"/>
          <w:i/>
          <w:iCs/>
          <w:noProof/>
          <w:sz w:val="24"/>
          <w:szCs w:val="24"/>
        </w:rPr>
        <w:t>RStudio: Integrated Development for R</w:t>
      </w:r>
      <w:r w:rsidRPr="003F6100">
        <w:rPr>
          <w:rFonts w:ascii="Times New Roman" w:hAnsi="Times New Roman" w:cs="Times New Roman"/>
          <w:noProof/>
          <w:sz w:val="24"/>
          <w:szCs w:val="24"/>
        </w:rPr>
        <w:t>. Retrieved from http://www.rstudio.com/</w:t>
      </w:r>
    </w:p>
    <w:p w14:paraId="484ADCB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3F6100">
        <w:rPr>
          <w:rFonts w:ascii="Times New Roman" w:hAnsi="Times New Roman" w:cs="Times New Roman"/>
          <w:i/>
          <w:iCs/>
          <w:noProof/>
          <w:sz w:val="24"/>
          <w:szCs w:val="24"/>
        </w:rPr>
        <w:t>Conservation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w:t>
      </w:r>
      <w:r w:rsidRPr="003F6100">
        <w:rPr>
          <w:rFonts w:ascii="Times New Roman" w:hAnsi="Times New Roman" w:cs="Times New Roman"/>
          <w:noProof/>
          <w:sz w:val="24"/>
          <w:szCs w:val="24"/>
        </w:rPr>
        <w:t>(2), 375–385. doi: 10.1007/s10592-009-0044-5</w:t>
      </w:r>
    </w:p>
    <w:p w14:paraId="7B015A86"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3F6100">
        <w:rPr>
          <w:rFonts w:ascii="Times New Roman" w:hAnsi="Times New Roman" w:cs="Times New Roman"/>
          <w:i/>
          <w:iCs/>
          <w:noProof/>
          <w:sz w:val="24"/>
          <w:szCs w:val="24"/>
        </w:rPr>
        <w:t>Scientific Reports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9</w:t>
      </w:r>
      <w:r w:rsidRPr="003F6100">
        <w:rPr>
          <w:rFonts w:ascii="Times New Roman" w:hAnsi="Times New Roman" w:cs="Times New Roman"/>
          <w:noProof/>
          <w:sz w:val="24"/>
          <w:szCs w:val="24"/>
        </w:rPr>
        <w:t>(1), 1–9. doi: 10.1038/s41598-019-43435-9</w:t>
      </w:r>
    </w:p>
    <w:p w14:paraId="7DFAB9E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Shimadzu, H., Dornelas, M., &amp; Magurran, A. E. (2015). Measuring temporal turnover in ecological communities.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6</w:t>
      </w:r>
      <w:r w:rsidRPr="003F6100">
        <w:rPr>
          <w:rFonts w:ascii="Times New Roman" w:hAnsi="Times New Roman" w:cs="Times New Roman"/>
          <w:noProof/>
          <w:sz w:val="24"/>
          <w:szCs w:val="24"/>
        </w:rPr>
        <w:t>(12), 1384–1394. doi: 10.1111/2041-210X.12438</w:t>
      </w:r>
    </w:p>
    <w:p w14:paraId="16BB544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3F6100">
        <w:rPr>
          <w:rFonts w:ascii="Times New Roman" w:hAnsi="Times New Roman" w:cs="Times New Roman"/>
          <w:i/>
          <w:iCs/>
          <w:noProof/>
          <w:sz w:val="24"/>
          <w:szCs w:val="24"/>
        </w:rPr>
        <w:t>Molecular Biology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31</w:t>
      </w:r>
      <w:r w:rsidRPr="003F6100">
        <w:rPr>
          <w:rFonts w:ascii="Times New Roman" w:hAnsi="Times New Roman" w:cs="Times New Roman"/>
          <w:noProof/>
          <w:sz w:val="24"/>
          <w:szCs w:val="24"/>
        </w:rPr>
        <w:t>(9), 2516–2527. doi: 10.1093/molbev/msu192</w:t>
      </w:r>
    </w:p>
    <w:p w14:paraId="2B9DBF0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3F6100">
        <w:rPr>
          <w:rFonts w:ascii="Times New Roman" w:hAnsi="Times New Roman" w:cs="Times New Roman"/>
          <w:i/>
          <w:iCs/>
          <w:noProof/>
          <w:sz w:val="24"/>
          <w:szCs w:val="24"/>
        </w:rPr>
        <w:t>Conservation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13</w:t>
      </w:r>
      <w:r w:rsidRPr="003F6100">
        <w:rPr>
          <w:rFonts w:ascii="Times New Roman" w:hAnsi="Times New Roman" w:cs="Times New Roman"/>
          <w:noProof/>
          <w:sz w:val="24"/>
          <w:szCs w:val="24"/>
        </w:rPr>
        <w:t>(2), 499–507. doi: 10.1007/s10592-011-0302-1</w:t>
      </w:r>
    </w:p>
    <w:p w14:paraId="5DB72E96"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3F6100">
        <w:rPr>
          <w:rFonts w:ascii="Times New Roman" w:hAnsi="Times New Roman" w:cs="Times New Roman"/>
          <w:i/>
          <w:iCs/>
          <w:noProof/>
          <w:sz w:val="24"/>
          <w:szCs w:val="24"/>
        </w:rPr>
        <w:t>Marine Ecology Progress Series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565</w:t>
      </w:r>
      <w:r w:rsidRPr="003F6100">
        <w:rPr>
          <w:rFonts w:ascii="Times New Roman" w:hAnsi="Times New Roman" w:cs="Times New Roman"/>
          <w:noProof/>
          <w:sz w:val="24"/>
          <w:szCs w:val="24"/>
        </w:rPr>
        <w:t>, 79–93. doi: 10.3354/meps12009</w:t>
      </w:r>
    </w:p>
    <w:p w14:paraId="57831AA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Wagner, H. H., &amp; Fortin, M.-J. (2013). A conceptual framework for the spatial analysis of landscape genetic data. </w:t>
      </w:r>
      <w:r w:rsidRPr="003F6100">
        <w:rPr>
          <w:rFonts w:ascii="Times New Roman" w:hAnsi="Times New Roman" w:cs="Times New Roman"/>
          <w:i/>
          <w:iCs/>
          <w:noProof/>
          <w:sz w:val="24"/>
          <w:szCs w:val="24"/>
        </w:rPr>
        <w:t>Conservation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14</w:t>
      </w:r>
      <w:r w:rsidRPr="003F6100">
        <w:rPr>
          <w:rFonts w:ascii="Times New Roman" w:hAnsi="Times New Roman" w:cs="Times New Roman"/>
          <w:noProof/>
          <w:sz w:val="24"/>
          <w:szCs w:val="24"/>
        </w:rPr>
        <w:t>(2), 253–261. doi: 10.1007/s10592-012-0391-5</w:t>
      </w:r>
    </w:p>
    <w:p w14:paraId="5BA2D45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3F6100">
        <w:rPr>
          <w:rFonts w:ascii="Times New Roman" w:hAnsi="Times New Roman" w:cs="Times New Roman"/>
          <w:i/>
          <w:iCs/>
          <w:noProof/>
          <w:sz w:val="24"/>
          <w:szCs w:val="24"/>
        </w:rPr>
        <w:t>Canadian Journal of Forest Research</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1348</w:t>
      </w:r>
      <w:r w:rsidRPr="003F6100">
        <w:rPr>
          <w:rFonts w:ascii="Times New Roman" w:hAnsi="Times New Roman" w:cs="Times New Roman"/>
          <w:noProof/>
          <w:sz w:val="24"/>
          <w:szCs w:val="24"/>
        </w:rPr>
        <w:t>(September), 1339–1348. doi: 10.1139/cjfr-2018-0417</w:t>
      </w:r>
    </w:p>
    <w:p w14:paraId="10B996C8"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3F6100">
        <w:rPr>
          <w:rFonts w:ascii="Times New Roman" w:hAnsi="Times New Roman" w:cs="Times New Roman"/>
          <w:noProof/>
          <w:sz w:val="24"/>
          <w:szCs w:val="24"/>
        </w:rPr>
        <w:t xml:space="preserve">Wright, S. (1943). Isolation by Distance. </w:t>
      </w:r>
      <w:r w:rsidRPr="003F6100">
        <w:rPr>
          <w:rFonts w:ascii="Times New Roman" w:hAnsi="Times New Roman" w:cs="Times New Roman"/>
          <w:i/>
          <w:iCs/>
          <w:noProof/>
          <w:sz w:val="24"/>
          <w:szCs w:val="24"/>
        </w:rPr>
        <w:t>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w:t>
      </w:r>
      <w:r w:rsidRPr="003F6100">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sectPr w:rsidR="004E1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NKkFADIrpoAtAAAA"/>
  </w:docVars>
  <w:rsids>
    <w:rsidRoot w:val="004E13A5"/>
    <w:rsid w:val="0000168C"/>
    <w:rsid w:val="00002466"/>
    <w:rsid w:val="00002A64"/>
    <w:rsid w:val="000053C7"/>
    <w:rsid w:val="00005F69"/>
    <w:rsid w:val="00006829"/>
    <w:rsid w:val="000141B3"/>
    <w:rsid w:val="000222ED"/>
    <w:rsid w:val="00023F2C"/>
    <w:rsid w:val="00024F61"/>
    <w:rsid w:val="0002624B"/>
    <w:rsid w:val="00026490"/>
    <w:rsid w:val="00026783"/>
    <w:rsid w:val="000270B4"/>
    <w:rsid w:val="00027F85"/>
    <w:rsid w:val="0003098F"/>
    <w:rsid w:val="00032375"/>
    <w:rsid w:val="00033B96"/>
    <w:rsid w:val="0004518E"/>
    <w:rsid w:val="00051F54"/>
    <w:rsid w:val="00053498"/>
    <w:rsid w:val="00055B96"/>
    <w:rsid w:val="00055C1A"/>
    <w:rsid w:val="00056C25"/>
    <w:rsid w:val="00056F49"/>
    <w:rsid w:val="00061580"/>
    <w:rsid w:val="000623C8"/>
    <w:rsid w:val="00063753"/>
    <w:rsid w:val="000637AB"/>
    <w:rsid w:val="00064F7E"/>
    <w:rsid w:val="000673CD"/>
    <w:rsid w:val="00067B6C"/>
    <w:rsid w:val="00067CAB"/>
    <w:rsid w:val="000745F8"/>
    <w:rsid w:val="00074A90"/>
    <w:rsid w:val="00074D7C"/>
    <w:rsid w:val="0007763B"/>
    <w:rsid w:val="00077818"/>
    <w:rsid w:val="00082620"/>
    <w:rsid w:val="00084066"/>
    <w:rsid w:val="00093A55"/>
    <w:rsid w:val="000955D0"/>
    <w:rsid w:val="00095B49"/>
    <w:rsid w:val="00097A65"/>
    <w:rsid w:val="000A3EC4"/>
    <w:rsid w:val="000A5079"/>
    <w:rsid w:val="000A6671"/>
    <w:rsid w:val="000A7724"/>
    <w:rsid w:val="000B078B"/>
    <w:rsid w:val="000B568D"/>
    <w:rsid w:val="000B7CDD"/>
    <w:rsid w:val="000C1EE3"/>
    <w:rsid w:val="000C2859"/>
    <w:rsid w:val="000D08D6"/>
    <w:rsid w:val="000D1B30"/>
    <w:rsid w:val="000D1CB4"/>
    <w:rsid w:val="000D683F"/>
    <w:rsid w:val="000E1A78"/>
    <w:rsid w:val="000E3A1A"/>
    <w:rsid w:val="000F06F3"/>
    <w:rsid w:val="000F49A2"/>
    <w:rsid w:val="001079BE"/>
    <w:rsid w:val="00117E9F"/>
    <w:rsid w:val="0012140E"/>
    <w:rsid w:val="001221C3"/>
    <w:rsid w:val="0012642F"/>
    <w:rsid w:val="00127CC5"/>
    <w:rsid w:val="00127D3A"/>
    <w:rsid w:val="00127F13"/>
    <w:rsid w:val="0013089B"/>
    <w:rsid w:val="00130BC1"/>
    <w:rsid w:val="00131252"/>
    <w:rsid w:val="00131E2F"/>
    <w:rsid w:val="00136405"/>
    <w:rsid w:val="00136C7B"/>
    <w:rsid w:val="001371AE"/>
    <w:rsid w:val="00140CCA"/>
    <w:rsid w:val="001411DE"/>
    <w:rsid w:val="001425D4"/>
    <w:rsid w:val="001446F6"/>
    <w:rsid w:val="00146654"/>
    <w:rsid w:val="001467B2"/>
    <w:rsid w:val="00147BDF"/>
    <w:rsid w:val="001563B0"/>
    <w:rsid w:val="00161403"/>
    <w:rsid w:val="00162C41"/>
    <w:rsid w:val="001633CB"/>
    <w:rsid w:val="00167AEB"/>
    <w:rsid w:val="00171477"/>
    <w:rsid w:val="00171B72"/>
    <w:rsid w:val="00174C4C"/>
    <w:rsid w:val="001756ED"/>
    <w:rsid w:val="00176B13"/>
    <w:rsid w:val="0017749B"/>
    <w:rsid w:val="00180AFB"/>
    <w:rsid w:val="00184ABD"/>
    <w:rsid w:val="001854BA"/>
    <w:rsid w:val="00190258"/>
    <w:rsid w:val="0019294D"/>
    <w:rsid w:val="001950CB"/>
    <w:rsid w:val="001965D2"/>
    <w:rsid w:val="001A5222"/>
    <w:rsid w:val="001A5615"/>
    <w:rsid w:val="001B42BC"/>
    <w:rsid w:val="001C38DB"/>
    <w:rsid w:val="001D0ACA"/>
    <w:rsid w:val="001D1B0E"/>
    <w:rsid w:val="001D2ADC"/>
    <w:rsid w:val="001D3FDE"/>
    <w:rsid w:val="001D512F"/>
    <w:rsid w:val="001E1272"/>
    <w:rsid w:val="001E16C9"/>
    <w:rsid w:val="001E3806"/>
    <w:rsid w:val="001E3C7E"/>
    <w:rsid w:val="001E483E"/>
    <w:rsid w:val="001E4D7C"/>
    <w:rsid w:val="001E570D"/>
    <w:rsid w:val="001E58E9"/>
    <w:rsid w:val="001F3196"/>
    <w:rsid w:val="001F6DBA"/>
    <w:rsid w:val="001F6EAA"/>
    <w:rsid w:val="001F6EAC"/>
    <w:rsid w:val="001F7518"/>
    <w:rsid w:val="00200373"/>
    <w:rsid w:val="0020343C"/>
    <w:rsid w:val="002050D0"/>
    <w:rsid w:val="0021147F"/>
    <w:rsid w:val="00213093"/>
    <w:rsid w:val="00217199"/>
    <w:rsid w:val="002234E0"/>
    <w:rsid w:val="0022740C"/>
    <w:rsid w:val="0023072B"/>
    <w:rsid w:val="0023083C"/>
    <w:rsid w:val="002363EE"/>
    <w:rsid w:val="002377D0"/>
    <w:rsid w:val="0024289D"/>
    <w:rsid w:val="002446CC"/>
    <w:rsid w:val="0025060E"/>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2102"/>
    <w:rsid w:val="00295FF4"/>
    <w:rsid w:val="002A1E12"/>
    <w:rsid w:val="002A1F8B"/>
    <w:rsid w:val="002A3DE7"/>
    <w:rsid w:val="002A488E"/>
    <w:rsid w:val="002B4583"/>
    <w:rsid w:val="002C3535"/>
    <w:rsid w:val="002C7903"/>
    <w:rsid w:val="002C7C02"/>
    <w:rsid w:val="002D00E2"/>
    <w:rsid w:val="002D2EEA"/>
    <w:rsid w:val="002D63E3"/>
    <w:rsid w:val="002E0D4E"/>
    <w:rsid w:val="002E1313"/>
    <w:rsid w:val="002E7623"/>
    <w:rsid w:val="002F00E9"/>
    <w:rsid w:val="002F50D0"/>
    <w:rsid w:val="002F53A6"/>
    <w:rsid w:val="002F5737"/>
    <w:rsid w:val="00302E8C"/>
    <w:rsid w:val="0031038B"/>
    <w:rsid w:val="00310B2C"/>
    <w:rsid w:val="00314411"/>
    <w:rsid w:val="00314CA1"/>
    <w:rsid w:val="00315CBD"/>
    <w:rsid w:val="00316ED7"/>
    <w:rsid w:val="00322EF1"/>
    <w:rsid w:val="00332595"/>
    <w:rsid w:val="00335E2F"/>
    <w:rsid w:val="00337F86"/>
    <w:rsid w:val="003422BA"/>
    <w:rsid w:val="00347EEB"/>
    <w:rsid w:val="00350E98"/>
    <w:rsid w:val="003549D9"/>
    <w:rsid w:val="00354DBD"/>
    <w:rsid w:val="00354E8A"/>
    <w:rsid w:val="00355E82"/>
    <w:rsid w:val="00357CA8"/>
    <w:rsid w:val="003615F1"/>
    <w:rsid w:val="003654C9"/>
    <w:rsid w:val="00367BC5"/>
    <w:rsid w:val="0037039A"/>
    <w:rsid w:val="003706EC"/>
    <w:rsid w:val="003741B4"/>
    <w:rsid w:val="00374ECD"/>
    <w:rsid w:val="00377029"/>
    <w:rsid w:val="0037716B"/>
    <w:rsid w:val="00384231"/>
    <w:rsid w:val="00384DF0"/>
    <w:rsid w:val="0039025A"/>
    <w:rsid w:val="0039028C"/>
    <w:rsid w:val="00390597"/>
    <w:rsid w:val="00391295"/>
    <w:rsid w:val="00394C28"/>
    <w:rsid w:val="00396770"/>
    <w:rsid w:val="003A1360"/>
    <w:rsid w:val="003B19F7"/>
    <w:rsid w:val="003B3778"/>
    <w:rsid w:val="003B771C"/>
    <w:rsid w:val="003C17E9"/>
    <w:rsid w:val="003C228D"/>
    <w:rsid w:val="003C3E3B"/>
    <w:rsid w:val="003C46CA"/>
    <w:rsid w:val="003C4854"/>
    <w:rsid w:val="003C4910"/>
    <w:rsid w:val="003C4FA0"/>
    <w:rsid w:val="003C7909"/>
    <w:rsid w:val="003D41F3"/>
    <w:rsid w:val="003D4FA3"/>
    <w:rsid w:val="003D56EC"/>
    <w:rsid w:val="003D5A1B"/>
    <w:rsid w:val="003D67FC"/>
    <w:rsid w:val="003D72B7"/>
    <w:rsid w:val="003E094B"/>
    <w:rsid w:val="003E71A5"/>
    <w:rsid w:val="003E73EA"/>
    <w:rsid w:val="003F114F"/>
    <w:rsid w:val="003F2FF1"/>
    <w:rsid w:val="003F354B"/>
    <w:rsid w:val="003F3E31"/>
    <w:rsid w:val="003F6100"/>
    <w:rsid w:val="003F69D8"/>
    <w:rsid w:val="004024F6"/>
    <w:rsid w:val="004036B9"/>
    <w:rsid w:val="004058E4"/>
    <w:rsid w:val="00406446"/>
    <w:rsid w:val="0041016F"/>
    <w:rsid w:val="00411503"/>
    <w:rsid w:val="00415B08"/>
    <w:rsid w:val="004170BB"/>
    <w:rsid w:val="004176BF"/>
    <w:rsid w:val="00422C59"/>
    <w:rsid w:val="00425BB7"/>
    <w:rsid w:val="004305E4"/>
    <w:rsid w:val="004306AD"/>
    <w:rsid w:val="00433983"/>
    <w:rsid w:val="00435DEE"/>
    <w:rsid w:val="00435FC0"/>
    <w:rsid w:val="00436872"/>
    <w:rsid w:val="004378A1"/>
    <w:rsid w:val="004441A5"/>
    <w:rsid w:val="00451660"/>
    <w:rsid w:val="00461C2D"/>
    <w:rsid w:val="0047226E"/>
    <w:rsid w:val="00472402"/>
    <w:rsid w:val="00475747"/>
    <w:rsid w:val="00480063"/>
    <w:rsid w:val="0048240C"/>
    <w:rsid w:val="00492036"/>
    <w:rsid w:val="00492594"/>
    <w:rsid w:val="004960F6"/>
    <w:rsid w:val="004A38A8"/>
    <w:rsid w:val="004A42FA"/>
    <w:rsid w:val="004A6053"/>
    <w:rsid w:val="004A6ACA"/>
    <w:rsid w:val="004A6C2F"/>
    <w:rsid w:val="004B01E2"/>
    <w:rsid w:val="004B1469"/>
    <w:rsid w:val="004B20F9"/>
    <w:rsid w:val="004B5712"/>
    <w:rsid w:val="004B600A"/>
    <w:rsid w:val="004B7793"/>
    <w:rsid w:val="004C0170"/>
    <w:rsid w:val="004C5976"/>
    <w:rsid w:val="004D104E"/>
    <w:rsid w:val="004D1456"/>
    <w:rsid w:val="004D63F8"/>
    <w:rsid w:val="004D7255"/>
    <w:rsid w:val="004E072F"/>
    <w:rsid w:val="004E13A5"/>
    <w:rsid w:val="004E3EF4"/>
    <w:rsid w:val="004E6917"/>
    <w:rsid w:val="004F11B7"/>
    <w:rsid w:val="004F670E"/>
    <w:rsid w:val="004F75B9"/>
    <w:rsid w:val="00500E46"/>
    <w:rsid w:val="0050472E"/>
    <w:rsid w:val="00505232"/>
    <w:rsid w:val="005063D9"/>
    <w:rsid w:val="00506E45"/>
    <w:rsid w:val="00510355"/>
    <w:rsid w:val="005154C3"/>
    <w:rsid w:val="005159F5"/>
    <w:rsid w:val="00522BA6"/>
    <w:rsid w:val="00522C3E"/>
    <w:rsid w:val="00523484"/>
    <w:rsid w:val="00524392"/>
    <w:rsid w:val="005248EF"/>
    <w:rsid w:val="0053064B"/>
    <w:rsid w:val="00530C19"/>
    <w:rsid w:val="005336FB"/>
    <w:rsid w:val="00533C55"/>
    <w:rsid w:val="00534D93"/>
    <w:rsid w:val="00535B75"/>
    <w:rsid w:val="00537BAC"/>
    <w:rsid w:val="00540E32"/>
    <w:rsid w:val="00541832"/>
    <w:rsid w:val="0054565E"/>
    <w:rsid w:val="00546239"/>
    <w:rsid w:val="00547B44"/>
    <w:rsid w:val="005524EA"/>
    <w:rsid w:val="00552FCF"/>
    <w:rsid w:val="005542C9"/>
    <w:rsid w:val="00555324"/>
    <w:rsid w:val="00561DE1"/>
    <w:rsid w:val="005663CD"/>
    <w:rsid w:val="0056645A"/>
    <w:rsid w:val="005725C7"/>
    <w:rsid w:val="005750CA"/>
    <w:rsid w:val="00577AF7"/>
    <w:rsid w:val="00586186"/>
    <w:rsid w:val="0059053F"/>
    <w:rsid w:val="00596B92"/>
    <w:rsid w:val="005A17AF"/>
    <w:rsid w:val="005A4792"/>
    <w:rsid w:val="005A56C0"/>
    <w:rsid w:val="005A7AE1"/>
    <w:rsid w:val="005B5111"/>
    <w:rsid w:val="005B52B2"/>
    <w:rsid w:val="005B723C"/>
    <w:rsid w:val="005C17F4"/>
    <w:rsid w:val="005C6117"/>
    <w:rsid w:val="005C66EB"/>
    <w:rsid w:val="005C6B4D"/>
    <w:rsid w:val="005D027E"/>
    <w:rsid w:val="005D0E13"/>
    <w:rsid w:val="005D5434"/>
    <w:rsid w:val="005D5951"/>
    <w:rsid w:val="005D663D"/>
    <w:rsid w:val="005D6EA5"/>
    <w:rsid w:val="005E037A"/>
    <w:rsid w:val="005E07EE"/>
    <w:rsid w:val="005E309B"/>
    <w:rsid w:val="005E4D5F"/>
    <w:rsid w:val="005F29B0"/>
    <w:rsid w:val="005F394B"/>
    <w:rsid w:val="005F3C03"/>
    <w:rsid w:val="005F6CBE"/>
    <w:rsid w:val="005F6E17"/>
    <w:rsid w:val="005F736B"/>
    <w:rsid w:val="00601497"/>
    <w:rsid w:val="00604C02"/>
    <w:rsid w:val="00611055"/>
    <w:rsid w:val="00611155"/>
    <w:rsid w:val="00611A4E"/>
    <w:rsid w:val="006141B4"/>
    <w:rsid w:val="00614ACA"/>
    <w:rsid w:val="00616333"/>
    <w:rsid w:val="00617696"/>
    <w:rsid w:val="00621C36"/>
    <w:rsid w:val="00626150"/>
    <w:rsid w:val="00631CD3"/>
    <w:rsid w:val="006339F9"/>
    <w:rsid w:val="00634B5A"/>
    <w:rsid w:val="00635445"/>
    <w:rsid w:val="00635AF6"/>
    <w:rsid w:val="006368E7"/>
    <w:rsid w:val="00636A47"/>
    <w:rsid w:val="00640C87"/>
    <w:rsid w:val="00643C26"/>
    <w:rsid w:val="006451B0"/>
    <w:rsid w:val="0064599B"/>
    <w:rsid w:val="00646795"/>
    <w:rsid w:val="00646E49"/>
    <w:rsid w:val="006507CE"/>
    <w:rsid w:val="006520B8"/>
    <w:rsid w:val="0065400A"/>
    <w:rsid w:val="00654C24"/>
    <w:rsid w:val="00655DDB"/>
    <w:rsid w:val="0065660C"/>
    <w:rsid w:val="006624C2"/>
    <w:rsid w:val="00667F46"/>
    <w:rsid w:val="006738FD"/>
    <w:rsid w:val="0067400C"/>
    <w:rsid w:val="006754D0"/>
    <w:rsid w:val="00675D5B"/>
    <w:rsid w:val="006814B3"/>
    <w:rsid w:val="00681C46"/>
    <w:rsid w:val="00684DBB"/>
    <w:rsid w:val="00685386"/>
    <w:rsid w:val="00690CD2"/>
    <w:rsid w:val="00691A19"/>
    <w:rsid w:val="00692022"/>
    <w:rsid w:val="00694155"/>
    <w:rsid w:val="0069486C"/>
    <w:rsid w:val="006A175B"/>
    <w:rsid w:val="006A2E72"/>
    <w:rsid w:val="006B5D89"/>
    <w:rsid w:val="006B7759"/>
    <w:rsid w:val="006C17CD"/>
    <w:rsid w:val="006C6F92"/>
    <w:rsid w:val="006D0458"/>
    <w:rsid w:val="006D198B"/>
    <w:rsid w:val="006D2272"/>
    <w:rsid w:val="006D298C"/>
    <w:rsid w:val="006D4C4D"/>
    <w:rsid w:val="006D5CD5"/>
    <w:rsid w:val="006D70DA"/>
    <w:rsid w:val="006E3979"/>
    <w:rsid w:val="006E412E"/>
    <w:rsid w:val="006F04E2"/>
    <w:rsid w:val="006F1AD7"/>
    <w:rsid w:val="006F59FE"/>
    <w:rsid w:val="006F6A06"/>
    <w:rsid w:val="006F7782"/>
    <w:rsid w:val="00706123"/>
    <w:rsid w:val="0070692F"/>
    <w:rsid w:val="00710291"/>
    <w:rsid w:val="00713FE7"/>
    <w:rsid w:val="00716E49"/>
    <w:rsid w:val="00717877"/>
    <w:rsid w:val="00720E9A"/>
    <w:rsid w:val="0072718C"/>
    <w:rsid w:val="00730648"/>
    <w:rsid w:val="00736400"/>
    <w:rsid w:val="00745D2C"/>
    <w:rsid w:val="007466CC"/>
    <w:rsid w:val="00746931"/>
    <w:rsid w:val="00747A55"/>
    <w:rsid w:val="00751073"/>
    <w:rsid w:val="00754884"/>
    <w:rsid w:val="00754EBE"/>
    <w:rsid w:val="00757698"/>
    <w:rsid w:val="0075793A"/>
    <w:rsid w:val="007627B6"/>
    <w:rsid w:val="00764A61"/>
    <w:rsid w:val="00771580"/>
    <w:rsid w:val="007729F2"/>
    <w:rsid w:val="0077390A"/>
    <w:rsid w:val="00773BE4"/>
    <w:rsid w:val="007749FA"/>
    <w:rsid w:val="00775867"/>
    <w:rsid w:val="00776CEC"/>
    <w:rsid w:val="00777B9A"/>
    <w:rsid w:val="007839F5"/>
    <w:rsid w:val="007848A4"/>
    <w:rsid w:val="007850C5"/>
    <w:rsid w:val="00786CFE"/>
    <w:rsid w:val="00787B05"/>
    <w:rsid w:val="00790718"/>
    <w:rsid w:val="00791C0F"/>
    <w:rsid w:val="00795488"/>
    <w:rsid w:val="00795844"/>
    <w:rsid w:val="007A49EF"/>
    <w:rsid w:val="007A4D11"/>
    <w:rsid w:val="007A686D"/>
    <w:rsid w:val="007B05E0"/>
    <w:rsid w:val="007B0795"/>
    <w:rsid w:val="007B643B"/>
    <w:rsid w:val="007C16E3"/>
    <w:rsid w:val="007C19E5"/>
    <w:rsid w:val="007C62DE"/>
    <w:rsid w:val="007C7FE1"/>
    <w:rsid w:val="007D5A56"/>
    <w:rsid w:val="007D60E9"/>
    <w:rsid w:val="007D68AE"/>
    <w:rsid w:val="007D76B3"/>
    <w:rsid w:val="007D7E27"/>
    <w:rsid w:val="007D7FB8"/>
    <w:rsid w:val="007E082E"/>
    <w:rsid w:val="007E1C8E"/>
    <w:rsid w:val="007E677E"/>
    <w:rsid w:val="007F2596"/>
    <w:rsid w:val="007F2634"/>
    <w:rsid w:val="007F43DF"/>
    <w:rsid w:val="007F6443"/>
    <w:rsid w:val="00804242"/>
    <w:rsid w:val="00805090"/>
    <w:rsid w:val="0081052F"/>
    <w:rsid w:val="008152A9"/>
    <w:rsid w:val="00816D23"/>
    <w:rsid w:val="00821191"/>
    <w:rsid w:val="008221AF"/>
    <w:rsid w:val="008268BA"/>
    <w:rsid w:val="00830373"/>
    <w:rsid w:val="008309BF"/>
    <w:rsid w:val="008317CD"/>
    <w:rsid w:val="008348EE"/>
    <w:rsid w:val="00834A69"/>
    <w:rsid w:val="008375B6"/>
    <w:rsid w:val="008410E8"/>
    <w:rsid w:val="00841510"/>
    <w:rsid w:val="0084240D"/>
    <w:rsid w:val="00843B2E"/>
    <w:rsid w:val="0084643E"/>
    <w:rsid w:val="00847992"/>
    <w:rsid w:val="00850187"/>
    <w:rsid w:val="00850FB4"/>
    <w:rsid w:val="00853B20"/>
    <w:rsid w:val="008601CB"/>
    <w:rsid w:val="008615D7"/>
    <w:rsid w:val="008617EB"/>
    <w:rsid w:val="00861BB3"/>
    <w:rsid w:val="008647FB"/>
    <w:rsid w:val="00864FAF"/>
    <w:rsid w:val="008661B5"/>
    <w:rsid w:val="008668B7"/>
    <w:rsid w:val="00873F32"/>
    <w:rsid w:val="00875EA5"/>
    <w:rsid w:val="00876118"/>
    <w:rsid w:val="00877B8B"/>
    <w:rsid w:val="00886D97"/>
    <w:rsid w:val="008903BF"/>
    <w:rsid w:val="00896E43"/>
    <w:rsid w:val="008A0CE4"/>
    <w:rsid w:val="008A2F5F"/>
    <w:rsid w:val="008A3027"/>
    <w:rsid w:val="008A40CE"/>
    <w:rsid w:val="008A7AF8"/>
    <w:rsid w:val="008B2DA1"/>
    <w:rsid w:val="008B6491"/>
    <w:rsid w:val="008C31BD"/>
    <w:rsid w:val="008C35FC"/>
    <w:rsid w:val="008C480D"/>
    <w:rsid w:val="008D2682"/>
    <w:rsid w:val="008D57CB"/>
    <w:rsid w:val="008D5B11"/>
    <w:rsid w:val="008D5DC5"/>
    <w:rsid w:val="008D6209"/>
    <w:rsid w:val="008E5867"/>
    <w:rsid w:val="008E65CC"/>
    <w:rsid w:val="008E6B15"/>
    <w:rsid w:val="008F66A1"/>
    <w:rsid w:val="008F6FB3"/>
    <w:rsid w:val="0090094F"/>
    <w:rsid w:val="00903156"/>
    <w:rsid w:val="00903FDD"/>
    <w:rsid w:val="009048D9"/>
    <w:rsid w:val="00904B54"/>
    <w:rsid w:val="0090522E"/>
    <w:rsid w:val="00906C92"/>
    <w:rsid w:val="00907699"/>
    <w:rsid w:val="00910194"/>
    <w:rsid w:val="00911F2D"/>
    <w:rsid w:val="009150FB"/>
    <w:rsid w:val="00921376"/>
    <w:rsid w:val="009219AB"/>
    <w:rsid w:val="009267FF"/>
    <w:rsid w:val="00926F7A"/>
    <w:rsid w:val="009275A9"/>
    <w:rsid w:val="009279F4"/>
    <w:rsid w:val="00927E09"/>
    <w:rsid w:val="00931038"/>
    <w:rsid w:val="0093343E"/>
    <w:rsid w:val="00933BE9"/>
    <w:rsid w:val="00940D8A"/>
    <w:rsid w:val="009507E1"/>
    <w:rsid w:val="00955D0E"/>
    <w:rsid w:val="00960F8C"/>
    <w:rsid w:val="0096227D"/>
    <w:rsid w:val="00962B5C"/>
    <w:rsid w:val="00964666"/>
    <w:rsid w:val="00965170"/>
    <w:rsid w:val="00966A00"/>
    <w:rsid w:val="009671FF"/>
    <w:rsid w:val="00973A4F"/>
    <w:rsid w:val="00987774"/>
    <w:rsid w:val="00990CFD"/>
    <w:rsid w:val="0099229B"/>
    <w:rsid w:val="0099254D"/>
    <w:rsid w:val="00992E41"/>
    <w:rsid w:val="00993057"/>
    <w:rsid w:val="00994541"/>
    <w:rsid w:val="009A0A45"/>
    <w:rsid w:val="009A1C9A"/>
    <w:rsid w:val="009A2299"/>
    <w:rsid w:val="009A3B7C"/>
    <w:rsid w:val="009A43EF"/>
    <w:rsid w:val="009B001E"/>
    <w:rsid w:val="009B0696"/>
    <w:rsid w:val="009B1C8F"/>
    <w:rsid w:val="009C383E"/>
    <w:rsid w:val="009C5C6C"/>
    <w:rsid w:val="009C6F0C"/>
    <w:rsid w:val="009D06C0"/>
    <w:rsid w:val="009D181A"/>
    <w:rsid w:val="009D2703"/>
    <w:rsid w:val="009D33DF"/>
    <w:rsid w:val="009D3B27"/>
    <w:rsid w:val="009D4A91"/>
    <w:rsid w:val="009D56FB"/>
    <w:rsid w:val="009D581E"/>
    <w:rsid w:val="009E0DF8"/>
    <w:rsid w:val="009E4A05"/>
    <w:rsid w:val="009E7BAF"/>
    <w:rsid w:val="009F267D"/>
    <w:rsid w:val="009F38AB"/>
    <w:rsid w:val="009F61E0"/>
    <w:rsid w:val="009F76DA"/>
    <w:rsid w:val="00A020EA"/>
    <w:rsid w:val="00A03B83"/>
    <w:rsid w:val="00A04F14"/>
    <w:rsid w:val="00A07C15"/>
    <w:rsid w:val="00A10ABA"/>
    <w:rsid w:val="00A11506"/>
    <w:rsid w:val="00A11547"/>
    <w:rsid w:val="00A1387D"/>
    <w:rsid w:val="00A13D2D"/>
    <w:rsid w:val="00A211B7"/>
    <w:rsid w:val="00A239B8"/>
    <w:rsid w:val="00A24993"/>
    <w:rsid w:val="00A26A5C"/>
    <w:rsid w:val="00A3005D"/>
    <w:rsid w:val="00A30430"/>
    <w:rsid w:val="00A312A8"/>
    <w:rsid w:val="00A43AB7"/>
    <w:rsid w:val="00A44CD5"/>
    <w:rsid w:val="00A51228"/>
    <w:rsid w:val="00A51906"/>
    <w:rsid w:val="00A51948"/>
    <w:rsid w:val="00A538F0"/>
    <w:rsid w:val="00A53D4B"/>
    <w:rsid w:val="00A60F90"/>
    <w:rsid w:val="00A6316D"/>
    <w:rsid w:val="00A63C66"/>
    <w:rsid w:val="00A64B43"/>
    <w:rsid w:val="00A66D8B"/>
    <w:rsid w:val="00A74CDA"/>
    <w:rsid w:val="00A75ECD"/>
    <w:rsid w:val="00A8176B"/>
    <w:rsid w:val="00A84ED9"/>
    <w:rsid w:val="00A92DD0"/>
    <w:rsid w:val="00A95594"/>
    <w:rsid w:val="00A95B48"/>
    <w:rsid w:val="00A96BD0"/>
    <w:rsid w:val="00A970F5"/>
    <w:rsid w:val="00A97629"/>
    <w:rsid w:val="00AA3A0B"/>
    <w:rsid w:val="00AA4E39"/>
    <w:rsid w:val="00AA784F"/>
    <w:rsid w:val="00AB2B18"/>
    <w:rsid w:val="00AB4F71"/>
    <w:rsid w:val="00AB5220"/>
    <w:rsid w:val="00AB68BE"/>
    <w:rsid w:val="00AC0D96"/>
    <w:rsid w:val="00AC1399"/>
    <w:rsid w:val="00AC1D0A"/>
    <w:rsid w:val="00AC2F7C"/>
    <w:rsid w:val="00AC7B7B"/>
    <w:rsid w:val="00AD1069"/>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BB5"/>
    <w:rsid w:val="00AF661E"/>
    <w:rsid w:val="00AF6D3B"/>
    <w:rsid w:val="00AF7CC7"/>
    <w:rsid w:val="00B00A89"/>
    <w:rsid w:val="00B0214F"/>
    <w:rsid w:val="00B031BE"/>
    <w:rsid w:val="00B03466"/>
    <w:rsid w:val="00B06606"/>
    <w:rsid w:val="00B105CD"/>
    <w:rsid w:val="00B11125"/>
    <w:rsid w:val="00B11673"/>
    <w:rsid w:val="00B13AE1"/>
    <w:rsid w:val="00B147F6"/>
    <w:rsid w:val="00B14D5E"/>
    <w:rsid w:val="00B1651D"/>
    <w:rsid w:val="00B16FB5"/>
    <w:rsid w:val="00B20342"/>
    <w:rsid w:val="00B2132B"/>
    <w:rsid w:val="00B22380"/>
    <w:rsid w:val="00B238ED"/>
    <w:rsid w:val="00B25EF6"/>
    <w:rsid w:val="00B32337"/>
    <w:rsid w:val="00B34350"/>
    <w:rsid w:val="00B3465A"/>
    <w:rsid w:val="00B3786F"/>
    <w:rsid w:val="00B37A76"/>
    <w:rsid w:val="00B43648"/>
    <w:rsid w:val="00B441F7"/>
    <w:rsid w:val="00B51B58"/>
    <w:rsid w:val="00B53747"/>
    <w:rsid w:val="00B56B96"/>
    <w:rsid w:val="00B63983"/>
    <w:rsid w:val="00B63A97"/>
    <w:rsid w:val="00B63E88"/>
    <w:rsid w:val="00B6498A"/>
    <w:rsid w:val="00B70338"/>
    <w:rsid w:val="00B71811"/>
    <w:rsid w:val="00B72DF0"/>
    <w:rsid w:val="00B752BC"/>
    <w:rsid w:val="00B76004"/>
    <w:rsid w:val="00B803AC"/>
    <w:rsid w:val="00B82026"/>
    <w:rsid w:val="00B825BE"/>
    <w:rsid w:val="00B87FEB"/>
    <w:rsid w:val="00B90851"/>
    <w:rsid w:val="00B910E4"/>
    <w:rsid w:val="00B9640C"/>
    <w:rsid w:val="00B964CC"/>
    <w:rsid w:val="00BA0803"/>
    <w:rsid w:val="00BA2D31"/>
    <w:rsid w:val="00BA6B34"/>
    <w:rsid w:val="00BA72C1"/>
    <w:rsid w:val="00BA77FD"/>
    <w:rsid w:val="00BB6B2C"/>
    <w:rsid w:val="00BC1041"/>
    <w:rsid w:val="00BC2783"/>
    <w:rsid w:val="00BC2FDB"/>
    <w:rsid w:val="00BC3881"/>
    <w:rsid w:val="00BD001D"/>
    <w:rsid w:val="00BD0403"/>
    <w:rsid w:val="00BD57C8"/>
    <w:rsid w:val="00BD5E9A"/>
    <w:rsid w:val="00BD6DD3"/>
    <w:rsid w:val="00BD7264"/>
    <w:rsid w:val="00BE0825"/>
    <w:rsid w:val="00BE6331"/>
    <w:rsid w:val="00BF391B"/>
    <w:rsid w:val="00BF78ED"/>
    <w:rsid w:val="00C011E9"/>
    <w:rsid w:val="00C0184F"/>
    <w:rsid w:val="00C023E3"/>
    <w:rsid w:val="00C074BE"/>
    <w:rsid w:val="00C07FA2"/>
    <w:rsid w:val="00C11EEA"/>
    <w:rsid w:val="00C126BB"/>
    <w:rsid w:val="00C1393E"/>
    <w:rsid w:val="00C15D2E"/>
    <w:rsid w:val="00C16340"/>
    <w:rsid w:val="00C16802"/>
    <w:rsid w:val="00C16C0E"/>
    <w:rsid w:val="00C21316"/>
    <w:rsid w:val="00C2150B"/>
    <w:rsid w:val="00C23647"/>
    <w:rsid w:val="00C27137"/>
    <w:rsid w:val="00C3279E"/>
    <w:rsid w:val="00C3547E"/>
    <w:rsid w:val="00C365FA"/>
    <w:rsid w:val="00C402B5"/>
    <w:rsid w:val="00C414D5"/>
    <w:rsid w:val="00C422DB"/>
    <w:rsid w:val="00C4355E"/>
    <w:rsid w:val="00C44162"/>
    <w:rsid w:val="00C4728B"/>
    <w:rsid w:val="00C47A12"/>
    <w:rsid w:val="00C5132F"/>
    <w:rsid w:val="00C519A3"/>
    <w:rsid w:val="00C5386F"/>
    <w:rsid w:val="00C5479F"/>
    <w:rsid w:val="00C569A0"/>
    <w:rsid w:val="00C60673"/>
    <w:rsid w:val="00C60DE9"/>
    <w:rsid w:val="00C61BAE"/>
    <w:rsid w:val="00C639AD"/>
    <w:rsid w:val="00C64363"/>
    <w:rsid w:val="00C64D99"/>
    <w:rsid w:val="00C71E31"/>
    <w:rsid w:val="00C71E83"/>
    <w:rsid w:val="00C7231E"/>
    <w:rsid w:val="00C72944"/>
    <w:rsid w:val="00C73507"/>
    <w:rsid w:val="00C74EA1"/>
    <w:rsid w:val="00C7501F"/>
    <w:rsid w:val="00C77098"/>
    <w:rsid w:val="00C908FF"/>
    <w:rsid w:val="00C91C4C"/>
    <w:rsid w:val="00C955CE"/>
    <w:rsid w:val="00CB0166"/>
    <w:rsid w:val="00CB24CD"/>
    <w:rsid w:val="00CB560E"/>
    <w:rsid w:val="00CB6200"/>
    <w:rsid w:val="00CB6FB3"/>
    <w:rsid w:val="00CC1F19"/>
    <w:rsid w:val="00CC2517"/>
    <w:rsid w:val="00CC5AFB"/>
    <w:rsid w:val="00CC72B2"/>
    <w:rsid w:val="00CE0FF0"/>
    <w:rsid w:val="00CE517A"/>
    <w:rsid w:val="00CE6B0A"/>
    <w:rsid w:val="00CE6FD9"/>
    <w:rsid w:val="00CE71E7"/>
    <w:rsid w:val="00CF30F2"/>
    <w:rsid w:val="00CF353A"/>
    <w:rsid w:val="00CF7403"/>
    <w:rsid w:val="00CF7E96"/>
    <w:rsid w:val="00D00F0A"/>
    <w:rsid w:val="00D01E4D"/>
    <w:rsid w:val="00D02662"/>
    <w:rsid w:val="00D02F42"/>
    <w:rsid w:val="00D03563"/>
    <w:rsid w:val="00D07A3A"/>
    <w:rsid w:val="00D100F7"/>
    <w:rsid w:val="00D14145"/>
    <w:rsid w:val="00D2058D"/>
    <w:rsid w:val="00D21628"/>
    <w:rsid w:val="00D21F28"/>
    <w:rsid w:val="00D23CEC"/>
    <w:rsid w:val="00D2425A"/>
    <w:rsid w:val="00D2594B"/>
    <w:rsid w:val="00D276A5"/>
    <w:rsid w:val="00D3019E"/>
    <w:rsid w:val="00D34C06"/>
    <w:rsid w:val="00D36BFD"/>
    <w:rsid w:val="00D41158"/>
    <w:rsid w:val="00D419BF"/>
    <w:rsid w:val="00D42082"/>
    <w:rsid w:val="00D433EE"/>
    <w:rsid w:val="00D4510C"/>
    <w:rsid w:val="00D476F7"/>
    <w:rsid w:val="00D521FC"/>
    <w:rsid w:val="00D54E9F"/>
    <w:rsid w:val="00D56318"/>
    <w:rsid w:val="00D62AED"/>
    <w:rsid w:val="00D62FA6"/>
    <w:rsid w:val="00D65028"/>
    <w:rsid w:val="00D66B9D"/>
    <w:rsid w:val="00D73057"/>
    <w:rsid w:val="00D74ECC"/>
    <w:rsid w:val="00D77D74"/>
    <w:rsid w:val="00D8178E"/>
    <w:rsid w:val="00D82B29"/>
    <w:rsid w:val="00D8326B"/>
    <w:rsid w:val="00D84E37"/>
    <w:rsid w:val="00D851FB"/>
    <w:rsid w:val="00D85461"/>
    <w:rsid w:val="00D854FE"/>
    <w:rsid w:val="00D85987"/>
    <w:rsid w:val="00D87DAF"/>
    <w:rsid w:val="00D92DB8"/>
    <w:rsid w:val="00D944C3"/>
    <w:rsid w:val="00D9453C"/>
    <w:rsid w:val="00D95DF9"/>
    <w:rsid w:val="00DA17B9"/>
    <w:rsid w:val="00DA20F1"/>
    <w:rsid w:val="00DA3E21"/>
    <w:rsid w:val="00DA5888"/>
    <w:rsid w:val="00DC074F"/>
    <w:rsid w:val="00DC1FCE"/>
    <w:rsid w:val="00DC2BAC"/>
    <w:rsid w:val="00DC6E86"/>
    <w:rsid w:val="00DD02CB"/>
    <w:rsid w:val="00DD02FD"/>
    <w:rsid w:val="00DD6118"/>
    <w:rsid w:val="00DD759F"/>
    <w:rsid w:val="00DE0B71"/>
    <w:rsid w:val="00DE3FED"/>
    <w:rsid w:val="00DE4C3E"/>
    <w:rsid w:val="00DE72D8"/>
    <w:rsid w:val="00DE7729"/>
    <w:rsid w:val="00DF3A37"/>
    <w:rsid w:val="00DF567C"/>
    <w:rsid w:val="00DF5ADE"/>
    <w:rsid w:val="00DF7D4D"/>
    <w:rsid w:val="00E02731"/>
    <w:rsid w:val="00E05108"/>
    <w:rsid w:val="00E06812"/>
    <w:rsid w:val="00E0779F"/>
    <w:rsid w:val="00E10E04"/>
    <w:rsid w:val="00E116E0"/>
    <w:rsid w:val="00E164C3"/>
    <w:rsid w:val="00E21228"/>
    <w:rsid w:val="00E25199"/>
    <w:rsid w:val="00E2582E"/>
    <w:rsid w:val="00E260AA"/>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AEA"/>
    <w:rsid w:val="00E64624"/>
    <w:rsid w:val="00E648B6"/>
    <w:rsid w:val="00E65F6C"/>
    <w:rsid w:val="00E715FE"/>
    <w:rsid w:val="00E71C81"/>
    <w:rsid w:val="00E75CDD"/>
    <w:rsid w:val="00E75D16"/>
    <w:rsid w:val="00E76778"/>
    <w:rsid w:val="00E801CA"/>
    <w:rsid w:val="00E855C9"/>
    <w:rsid w:val="00E85B45"/>
    <w:rsid w:val="00E876E6"/>
    <w:rsid w:val="00E9039C"/>
    <w:rsid w:val="00E91D97"/>
    <w:rsid w:val="00E92C64"/>
    <w:rsid w:val="00E9314B"/>
    <w:rsid w:val="00E95A2C"/>
    <w:rsid w:val="00E97F87"/>
    <w:rsid w:val="00EA3D89"/>
    <w:rsid w:val="00EA48BC"/>
    <w:rsid w:val="00EA49CD"/>
    <w:rsid w:val="00EA515D"/>
    <w:rsid w:val="00EA64AE"/>
    <w:rsid w:val="00EA7841"/>
    <w:rsid w:val="00EB269F"/>
    <w:rsid w:val="00EB39CE"/>
    <w:rsid w:val="00ED2205"/>
    <w:rsid w:val="00ED5A15"/>
    <w:rsid w:val="00EE3211"/>
    <w:rsid w:val="00EE4532"/>
    <w:rsid w:val="00EE6000"/>
    <w:rsid w:val="00EE7EE0"/>
    <w:rsid w:val="00EF28F1"/>
    <w:rsid w:val="00EF5DFD"/>
    <w:rsid w:val="00F02E66"/>
    <w:rsid w:val="00F03276"/>
    <w:rsid w:val="00F045D5"/>
    <w:rsid w:val="00F04F70"/>
    <w:rsid w:val="00F05BC1"/>
    <w:rsid w:val="00F05FD6"/>
    <w:rsid w:val="00F06536"/>
    <w:rsid w:val="00F065FC"/>
    <w:rsid w:val="00F11734"/>
    <w:rsid w:val="00F11CC4"/>
    <w:rsid w:val="00F1314A"/>
    <w:rsid w:val="00F136EF"/>
    <w:rsid w:val="00F14791"/>
    <w:rsid w:val="00F147BB"/>
    <w:rsid w:val="00F17C3F"/>
    <w:rsid w:val="00F2342E"/>
    <w:rsid w:val="00F2498B"/>
    <w:rsid w:val="00F24C6B"/>
    <w:rsid w:val="00F26C85"/>
    <w:rsid w:val="00F27778"/>
    <w:rsid w:val="00F320FC"/>
    <w:rsid w:val="00F322CA"/>
    <w:rsid w:val="00F37ADB"/>
    <w:rsid w:val="00F424FD"/>
    <w:rsid w:val="00F50B1C"/>
    <w:rsid w:val="00F50BB1"/>
    <w:rsid w:val="00F52026"/>
    <w:rsid w:val="00F54551"/>
    <w:rsid w:val="00F5629D"/>
    <w:rsid w:val="00F62EA3"/>
    <w:rsid w:val="00F63000"/>
    <w:rsid w:val="00F6615F"/>
    <w:rsid w:val="00F73330"/>
    <w:rsid w:val="00F74AFD"/>
    <w:rsid w:val="00F85527"/>
    <w:rsid w:val="00F90329"/>
    <w:rsid w:val="00F9052D"/>
    <w:rsid w:val="00F92D6E"/>
    <w:rsid w:val="00F962E5"/>
    <w:rsid w:val="00F972F2"/>
    <w:rsid w:val="00FA090A"/>
    <w:rsid w:val="00FA3B98"/>
    <w:rsid w:val="00FC0721"/>
    <w:rsid w:val="00FC1F62"/>
    <w:rsid w:val="00FC33C1"/>
    <w:rsid w:val="00FC5954"/>
    <w:rsid w:val="00FD1093"/>
    <w:rsid w:val="00FE2CA3"/>
    <w:rsid w:val="00FF1FF7"/>
    <w:rsid w:val="00FF2602"/>
    <w:rsid w:val="00FF669A"/>
    <w:rsid w:val="00FF66D6"/>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docId w15:val="{45C0C4EE-C9E4-4A9E-AE9A-0F9AD9AD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computecanada.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FB41C-7AB0-4156-B758-FE49AFDE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40</Pages>
  <Words>39260</Words>
  <Characters>223785</Characters>
  <Application>Microsoft Office Word</Application>
  <DocSecurity>0</DocSecurity>
  <Lines>1864</Lines>
  <Paragraphs>525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3</cp:revision>
  <dcterms:created xsi:type="dcterms:W3CDTF">2020-01-11T07:56:00Z</dcterms:created>
  <dcterms:modified xsi:type="dcterms:W3CDTF">2020-01-11T08:05:00Z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