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16987" w14:textId="74A976DE" w:rsidR="008D3B5A" w:rsidRDefault="008D3B5A" w:rsidP="004775A3">
      <w:pPr>
        <w:spacing w:after="0" w:line="480" w:lineRule="auto"/>
        <w:rPr>
          <w:sz w:val="44"/>
          <w:szCs w:val="40"/>
          <w:lang w:val="en-GB"/>
        </w:rPr>
      </w:pPr>
      <w:r w:rsidRPr="000626B4">
        <w:rPr>
          <w:sz w:val="44"/>
          <w:szCs w:val="40"/>
          <w:lang w:val="en-GB"/>
        </w:rPr>
        <w:t>Detecting temporal changes in genetic diversity: a new tool for molecular ecology studies with repeated surveys</w:t>
      </w:r>
    </w:p>
    <w:p w14:paraId="24422327" w14:textId="1F6B067A" w:rsidR="00213F44" w:rsidRPr="009D76E2" w:rsidRDefault="00213F44" w:rsidP="00213F44">
      <w:pPr>
        <w:rPr>
          <w:lang w:val="en-GB"/>
        </w:rPr>
      </w:pPr>
      <w:r w:rsidRPr="00213F44">
        <w:rPr>
          <w:u w:val="single"/>
          <w:lang w:val="en-GB"/>
        </w:rPr>
        <w:t>Running title:</w:t>
      </w:r>
      <w:r>
        <w:rPr>
          <w:lang w:val="en-GB"/>
        </w:rPr>
        <w:t xml:space="preserve"> Testing temporal genetic diversity change</w:t>
      </w:r>
    </w:p>
    <w:p w14:paraId="53EA0595" w14:textId="77777777" w:rsidR="008D3B5A" w:rsidRPr="00362827" w:rsidRDefault="008D3B5A" w:rsidP="004775A3">
      <w:pPr>
        <w:spacing w:after="0" w:line="480" w:lineRule="auto"/>
        <w:rPr>
          <w:vertAlign w:val="superscript"/>
          <w:lang w:val="en-GB"/>
        </w:rPr>
      </w:pPr>
      <w:r w:rsidRPr="00362827">
        <w:rPr>
          <w:lang w:val="en-GB"/>
        </w:rPr>
        <w:t>Julian Wittische</w:t>
      </w:r>
      <w:r w:rsidRPr="00362827">
        <w:rPr>
          <w:vertAlign w:val="superscript"/>
          <w:lang w:val="en-GB"/>
        </w:rPr>
        <w:t>1</w:t>
      </w:r>
      <w:r w:rsidRPr="00362827">
        <w:rPr>
          <w:lang w:val="en-GB"/>
        </w:rPr>
        <w:t>, Pierre Legendre</w:t>
      </w:r>
      <w:r w:rsidRPr="00362827">
        <w:rPr>
          <w:vertAlign w:val="superscript"/>
          <w:lang w:val="en-GB"/>
        </w:rPr>
        <w:t>1</w:t>
      </w:r>
      <w:r w:rsidRPr="00362827">
        <w:rPr>
          <w:lang w:val="en-GB"/>
        </w:rPr>
        <w:t>, Patrick M. A. James</w:t>
      </w:r>
      <w:r w:rsidRPr="00362827">
        <w:rPr>
          <w:vertAlign w:val="superscript"/>
          <w:lang w:val="en-GB"/>
        </w:rPr>
        <w:t>1,2</w:t>
      </w:r>
    </w:p>
    <w:p w14:paraId="53E4FF0B" w14:textId="77777777" w:rsidR="008D3B5A" w:rsidRPr="00362827" w:rsidRDefault="008D3B5A" w:rsidP="004775A3">
      <w:pPr>
        <w:spacing w:after="0" w:line="480" w:lineRule="auto"/>
        <w:rPr>
          <w:lang w:val="en-GB"/>
        </w:rPr>
      </w:pPr>
      <w:r w:rsidRPr="0013754E">
        <w:rPr>
          <w:vertAlign w:val="superscript"/>
        </w:rPr>
        <w:t xml:space="preserve">1 </w:t>
      </w:r>
      <w:r w:rsidRPr="0013754E">
        <w:t xml:space="preserve">Département de Sciences Biologiques, Campus MIL, Université de Montréal, C.P. 6128, </w:t>
      </w:r>
      <w:proofErr w:type="spellStart"/>
      <w:r w:rsidRPr="0013754E">
        <w:t>succ</w:t>
      </w:r>
      <w:proofErr w:type="spellEnd"/>
      <w:r w:rsidRPr="0013754E">
        <w:t xml:space="preserve">. </w:t>
      </w:r>
      <w:r w:rsidRPr="00362827">
        <w:rPr>
          <w:lang w:val="en-GB"/>
        </w:rPr>
        <w:t>Centre-</w:t>
      </w:r>
      <w:proofErr w:type="spellStart"/>
      <w:r w:rsidRPr="00362827">
        <w:rPr>
          <w:lang w:val="en-GB"/>
        </w:rPr>
        <w:t>ville</w:t>
      </w:r>
      <w:proofErr w:type="spellEnd"/>
      <w:r w:rsidRPr="00362827">
        <w:rPr>
          <w:lang w:val="en-GB"/>
        </w:rPr>
        <w:t>, Montréal, QC, Canada, H3C 3J7</w:t>
      </w:r>
    </w:p>
    <w:p w14:paraId="131938A4" w14:textId="77777777" w:rsidR="008D3B5A" w:rsidRPr="00362827" w:rsidRDefault="008D3B5A" w:rsidP="004775A3">
      <w:pPr>
        <w:spacing w:after="0" w:line="480" w:lineRule="auto"/>
        <w:rPr>
          <w:lang w:val="en-GB"/>
        </w:rPr>
      </w:pPr>
      <w:r w:rsidRPr="00362827">
        <w:rPr>
          <w:vertAlign w:val="superscript"/>
          <w:lang w:val="en-GB"/>
        </w:rPr>
        <w:t xml:space="preserve">2 </w:t>
      </w:r>
      <w:r w:rsidRPr="00362827">
        <w:rPr>
          <w:lang w:val="en-GB"/>
        </w:rPr>
        <w:t>Institute of Forestry and Conservation, University of Toronto, 33 Willcocks St., Toronto, ON, Canada, M5S 2J5</w:t>
      </w:r>
    </w:p>
    <w:p w14:paraId="499EB7C8" w14:textId="77777777" w:rsidR="008D3B5A" w:rsidRPr="00362827" w:rsidRDefault="008D3B5A" w:rsidP="004775A3">
      <w:pPr>
        <w:spacing w:after="0" w:line="480" w:lineRule="auto"/>
        <w:rPr>
          <w:lang w:val="en-GB"/>
        </w:rPr>
      </w:pPr>
      <w:r w:rsidRPr="000D42DE">
        <w:rPr>
          <w:vertAlign w:val="superscript"/>
          <w:lang w:val="en-GB"/>
        </w:rPr>
        <w:t>*</w:t>
      </w:r>
      <w:r w:rsidRPr="000D42DE">
        <w:rPr>
          <w:lang w:val="en-GB"/>
        </w:rPr>
        <w:t xml:space="preserve"> Corresponding author</w:t>
      </w:r>
      <w:r>
        <w:rPr>
          <w:lang w:val="en-GB"/>
        </w:rPr>
        <w:t xml:space="preserve">, </w:t>
      </w:r>
      <w:r w:rsidRPr="000D42DE">
        <w:rPr>
          <w:lang w:val="en-GB"/>
        </w:rPr>
        <w:t xml:space="preserve">E-mail: </w:t>
      </w:r>
      <w:hyperlink r:id="rId8">
        <w:r w:rsidRPr="000D42DE">
          <w:rPr>
            <w:rStyle w:val="InternetLink"/>
            <w:lang w:val="en-GB"/>
          </w:rPr>
          <w:t>jwittische@gmail.com</w:t>
        </w:r>
      </w:hyperlink>
    </w:p>
    <w:p w14:paraId="570344C9" w14:textId="4E52395C" w:rsidR="008D3B5A" w:rsidRDefault="008D3B5A" w:rsidP="004775A3">
      <w:pPr>
        <w:spacing w:line="480" w:lineRule="auto"/>
        <w:rPr>
          <w:lang w:val="en-GB"/>
        </w:rPr>
      </w:pPr>
    </w:p>
    <w:p w14:paraId="436F6526" w14:textId="23883DC5" w:rsidR="008D3B5A" w:rsidRPr="004775A3" w:rsidRDefault="008D3B5A" w:rsidP="008D3B5A">
      <w:pPr>
        <w:rPr>
          <w:lang w:val="en-CA"/>
        </w:rPr>
      </w:pPr>
    </w:p>
    <w:p w14:paraId="3CB675AD" w14:textId="77777777" w:rsidR="008D3B5A" w:rsidRDefault="008D3B5A" w:rsidP="008D3B5A">
      <w:pPr>
        <w:rPr>
          <w:lang w:val="en-GB"/>
        </w:rPr>
      </w:pPr>
    </w:p>
    <w:p w14:paraId="691AD945" w14:textId="460E2E38" w:rsidR="008D3B5A" w:rsidRDefault="008D3B5A" w:rsidP="008D3B5A">
      <w:pPr>
        <w:rPr>
          <w:lang w:val="en-GB"/>
        </w:rPr>
      </w:pPr>
    </w:p>
    <w:p w14:paraId="290FE161" w14:textId="552C159F" w:rsidR="008D3B5A" w:rsidRDefault="008D3B5A" w:rsidP="008D3B5A">
      <w:pPr>
        <w:rPr>
          <w:lang w:val="en-GB"/>
        </w:rPr>
      </w:pPr>
    </w:p>
    <w:p w14:paraId="3372A9CA" w14:textId="77777777" w:rsidR="008D3B5A" w:rsidRPr="00310630" w:rsidRDefault="008D3B5A" w:rsidP="008D3B5A">
      <w:pPr>
        <w:pStyle w:val="Heading3"/>
        <w:rPr>
          <w:lang w:val="en-GB"/>
        </w:rPr>
      </w:pPr>
      <w:bookmarkStart w:id="0" w:name="_Toc81356464"/>
      <w:r w:rsidRPr="00310630">
        <w:rPr>
          <w:lang w:val="en-GB"/>
        </w:rPr>
        <w:lastRenderedPageBreak/>
        <w:t>Abstract</w:t>
      </w:r>
      <w:bookmarkEnd w:id="0"/>
    </w:p>
    <w:p w14:paraId="50E86AE5" w14:textId="49A2D8A9" w:rsidR="008D3B5A" w:rsidRDefault="008D3B5A" w:rsidP="004775A3">
      <w:pPr>
        <w:spacing w:line="480" w:lineRule="auto"/>
        <w:rPr>
          <w:lang w:val="en-CA"/>
        </w:rPr>
      </w:pPr>
      <w:r w:rsidRPr="00BD14BD">
        <w:rPr>
          <w:lang w:val="en-CA"/>
        </w:rPr>
        <w:t xml:space="preserve">Understanding spatiotemporal changes in biodiversity, including genetic diversity, is essential to track the effects of global change and to inform effective conservation plans. Although temporal questions are common in community ecology, they are less often investigated in </w:t>
      </w:r>
      <w:r>
        <w:rPr>
          <w:lang w:val="en-CA"/>
        </w:rPr>
        <w:t>landscape</w:t>
      </w:r>
      <w:r w:rsidRPr="00BD14BD">
        <w:rPr>
          <w:lang w:val="en-CA"/>
        </w:rPr>
        <w:t xml:space="preserve"> genetics. Indeed, detecting changes in local genetic diversity due to demographic events that exceed what one would expect under neutral conditions (e.g., drift) is challenging. Our capacity to detect such changes is also information</w:t>
      </w:r>
      <w:r w:rsidR="00A43F53">
        <w:rPr>
          <w:lang w:val="en-CA"/>
        </w:rPr>
        <w:t>-</w:t>
      </w:r>
      <w:r w:rsidRPr="00BD14BD">
        <w:rPr>
          <w:lang w:val="en-CA"/>
        </w:rPr>
        <w:t xml:space="preserve">dependent. Existing methods to detect meaningful genetic changes through time typically require large datasets containing information beyond simple allele counts. However, when such extensive information is not available, methods are still needed to detect and understand temporal changes in genetic diversity induced by demographic events. </w:t>
      </w:r>
      <w:r w:rsidR="00A43F53">
        <w:rPr>
          <w:lang w:val="en-CA"/>
        </w:rPr>
        <w:t>We</w:t>
      </w:r>
      <w:r w:rsidRPr="00BD14BD">
        <w:rPr>
          <w:lang w:val="en-CA"/>
        </w:rPr>
        <w:t xml:space="preserve"> describe Temporal Genetic Indices (TGI), a new method for identifying significant </w:t>
      </w:r>
      <w:r w:rsidR="00C80F03">
        <w:rPr>
          <w:lang w:val="en-CA"/>
        </w:rPr>
        <w:t xml:space="preserve">temporal </w:t>
      </w:r>
      <w:r w:rsidRPr="00BD14BD">
        <w:rPr>
          <w:lang w:val="en-CA"/>
        </w:rPr>
        <w:t>changes in genetic diversit</w:t>
      </w:r>
      <w:r w:rsidR="00C80F03">
        <w:rPr>
          <w:lang w:val="en-CA"/>
        </w:rPr>
        <w:t>y</w:t>
      </w:r>
      <w:r w:rsidRPr="00BD14BD">
        <w:rPr>
          <w:lang w:val="en-CA"/>
        </w:rPr>
        <w:t>. This method uses permutations of genotypic matrices to test the significance of genetic temporal change at sites, given neutral genetic change at other sampling sites in the study landscape. TGI overcomes existing challenges to detecting temporal change in genetic data with minimal information. We demonstrate the utility of TGI for identifying the genetic legacies of important historical demographic events using demo-genetic simulation. We further demonstrate the ability of our TGI approach to identify such legacies under different levels of dispersal, spatial extent of the demographic events, and the timing of sampling relative to the events. Finally, we successfully apply TGI to an empirical dataset</w:t>
      </w:r>
      <w:r w:rsidR="00177E4E">
        <w:rPr>
          <w:lang w:val="en-CA"/>
        </w:rPr>
        <w:t xml:space="preserve">, </w:t>
      </w:r>
      <w:r w:rsidR="00177E4E" w:rsidRPr="00BD14BD">
        <w:rPr>
          <w:lang w:val="en-CA"/>
        </w:rPr>
        <w:t>supporting previous conclusions</w:t>
      </w:r>
      <w:r w:rsidRPr="00BD14BD">
        <w:rPr>
          <w:lang w:val="en-CA"/>
        </w:rPr>
        <w:t>, with our application providing a straightforward test for genetic change.</w:t>
      </w:r>
    </w:p>
    <w:p w14:paraId="6E900F24" w14:textId="77777777" w:rsidR="00213F44" w:rsidRPr="00A307A8" w:rsidRDefault="00213F44" w:rsidP="00213F44">
      <w:pPr>
        <w:spacing w:line="480" w:lineRule="auto"/>
        <w:rPr>
          <w:lang w:val="en-CA"/>
        </w:rPr>
      </w:pPr>
      <w:r>
        <w:rPr>
          <w:b/>
          <w:bCs w:val="0"/>
          <w:lang w:val="en-CA"/>
        </w:rPr>
        <w:t xml:space="preserve">Keywords: </w:t>
      </w:r>
      <w:r>
        <w:rPr>
          <w:lang w:val="en-CA"/>
        </w:rPr>
        <w:t>Time; Significance testing; Population genetics; Monitoring; R software</w:t>
      </w:r>
    </w:p>
    <w:p w14:paraId="5E3D7440" w14:textId="77777777" w:rsidR="008D3B5A" w:rsidRPr="00310630" w:rsidRDefault="008D3B5A" w:rsidP="008D3B5A">
      <w:pPr>
        <w:pStyle w:val="Heading3"/>
        <w:rPr>
          <w:lang w:val="en-GB"/>
        </w:rPr>
      </w:pPr>
      <w:bookmarkStart w:id="1" w:name="_Toc79591390"/>
      <w:bookmarkStart w:id="2" w:name="_Toc81356465"/>
      <w:r w:rsidRPr="00310630">
        <w:rPr>
          <w:lang w:val="en-GB"/>
        </w:rPr>
        <w:lastRenderedPageBreak/>
        <w:t>1. Introduction</w:t>
      </w:r>
      <w:bookmarkEnd w:id="1"/>
      <w:bookmarkEnd w:id="2"/>
    </w:p>
    <w:p w14:paraId="76A1B561" w14:textId="77777777" w:rsidR="008D3B5A" w:rsidRPr="00BD14BD" w:rsidRDefault="008D3B5A" w:rsidP="004775A3">
      <w:pPr>
        <w:spacing w:line="480" w:lineRule="auto"/>
        <w:rPr>
          <w:lang w:val="en-CA"/>
        </w:rPr>
      </w:pPr>
      <w:r w:rsidRPr="00BD14BD">
        <w:rPr>
          <w:lang w:val="en-CA"/>
        </w:rPr>
        <w:t xml:space="preserve">Global biodiversity at the gene, species, population, and ecosystem scales is being altered at an increasing rate, with significant consequences for ecosystem functioning and the long-term viability of the biosphere </w:t>
      </w:r>
      <w:r w:rsidRPr="00BD14BD">
        <w:rPr>
          <w:lang w:val="en-CA"/>
        </w:rPr>
        <w:fldChar w:fldCharType="begin" w:fldLock="1"/>
      </w:r>
      <w:r w:rsidRPr="00BD14BD">
        <w:rPr>
          <w:lang w:val="en-CA"/>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Applications","id":"ITEM-1","issue":"8","issued":{"date-parts":[["2019"]]},"page":"1505-1512","title":"Estimated six per cent loss of genetic variation in wild populations since the industrial revolution","type":"article-journal","volume":"12"},"uris":["http://www.mendeley.com/documents/?uuid=f8345732-d252-495e-a35a-76d39c015315"]},{"id":"ITEM-2","itemData":{"DOI":"10.1126/science.1251817","abstract":"We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hropocene","type":"article-journal","volume":"401"},"uris":["http://www.mendeley.com/documents/?uuid=3d479c7b-05f4-45bc-bba8-fee2776d502a"]},{"id":"ITEM-3","itemData":{"DOI":"10.1111/j.1461-0248.2011.01736.x","ISBN":"0471142905","ISSN":"1461-0248","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letters","id":"ITEM-3","issue":"4","issued":{"date-parts":[["2012"]]},"page":"365-377","title":"Impacts of climate change on the future of biodiversity.","type":"article-journal","volume":"15"},"uris":["http://www.mendeley.com/documents/?uuid=0d7f3b98-03aa-4ade-a0ef-2138f9e4fdc1"]}],"mendeley":{"formattedCitation":"(Bellard et al. 2012; Dirzo et al. 2014; Leigh et al. 2019)","plainTextFormattedCitation":"(Bellard et al. 2012; Dirzo et al. 2014; Leigh et al. 2019)","previouslyFormattedCitation":"(Bellard et al. 2012; Dirzo et al. 2014; Leigh et al. 2019)"},"properties":{"noteIndex":0},"schema":"https://github.com/citation-style-language/schema/raw/master/csl-citation.json"}</w:instrText>
      </w:r>
      <w:r w:rsidRPr="00BD14BD">
        <w:rPr>
          <w:lang w:val="en-CA"/>
        </w:rPr>
        <w:fldChar w:fldCharType="separate"/>
      </w:r>
      <w:r w:rsidRPr="00BD14BD">
        <w:rPr>
          <w:noProof/>
          <w:lang w:val="en-CA"/>
        </w:rPr>
        <w:t>(Bellard et al. 2012; Dirzo et al. 2014; Leigh et al. 2019)</w:t>
      </w:r>
      <w:r w:rsidRPr="00BD14BD">
        <w:rPr>
          <w:lang w:val="en-CA"/>
        </w:rPr>
        <w:fldChar w:fldCharType="end"/>
      </w:r>
      <w:r w:rsidRPr="00BD14BD">
        <w:rPr>
          <w:lang w:val="en-CA"/>
        </w:rPr>
        <w:t xml:space="preserve">. Given these global changes and the inherent temporal variability of biological systems, conservation biologists are increasingly recognizing that it is no longer sufficient to study spatial patterns in biodiversity at a single point in time. Instead, trends in biodiversity must be observed across both space and time </w:t>
      </w:r>
      <w:r w:rsidRPr="00BD14BD">
        <w:rPr>
          <w:lang w:val="en-CA"/>
        </w:rPr>
        <w:fldChar w:fldCharType="begin" w:fldLock="1"/>
      </w:r>
      <w:r>
        <w:rPr>
          <w:lang w:val="en-CA"/>
        </w:rPr>
        <w:instrText>ADDIN CSL_CITATION {"citationItems":[{"id":"ITEM-1","itemData":{"DOI":"10.1111/mec.15315","ISSN":"1365294X","PMID":"31758601","abstract":"Genetic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and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palaeoclimate data, and highlight areas for future methodological development.","author":[{"dropping-particle":"","family":"Fenderson","given":"Lindsey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Ecology","id":"ITEM-1","issue":"2","issued":{"date-parts":[["2019"]]},"page":"218-246","title":"Spatiotemporal landscape genetics: Investigating ecology and evolution through space and time","type":"article-journal","volume":"29"},"uris":["http://www.mendeley.com/documents/?uuid=f91462ee-0e28-4315-b0f6-5807113a3c16"]},{"id":"ITEM-2","itemData":{"DOI":"10.1038/nrg2844","ISSN":"1471-0064","PMID":"20847747","abstract":"We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genetics.","type":"article-journal","volume":"11"},"uris":["http://www.mendeley.com/documents/?uuid=49bad344-a793-48eb-aa17-035c8a7d7f8c"]},{"id":"ITEM-3","itemData":{"DOI":"10.1146/annurev-ecolsys-110316-022659","ISSN":"1543-592X","abstract":"Many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Systematics","id":"ITEM-3","issue":"1","issued":{"date-parts":[["2019"]]},"page":"427-449","title":"Spatial Population Genetics: It's About Time","type":"article-journal","volume":"50"},"uris":["http://www.mendeley.com/documents/?uuid=8d7ad29f-2932-4ede-b4f6-1ca08c9cfa1b"]}],"mendeley":{"formattedCitation":"(Allendorf et al. 2010; Bradburd &amp; Ralph 2019; Fenderson et al. 2019)","plainTextFormattedCitation":"(Allendorf et al. 2010; Bradburd &amp; Ralph 2019; Fenderson et al. 2019)","previouslyFormattedCitation":"(Allendorf et al. 2010; Bradburd &amp; Ralph 2019; Fenderson et al. 2019)"},"properties":{"noteIndex":0},"schema":"https://github.com/citation-style-language/schema/raw/master/csl-citation.json"}</w:instrText>
      </w:r>
      <w:r w:rsidRPr="00BD14BD">
        <w:rPr>
          <w:lang w:val="en-CA"/>
        </w:rPr>
        <w:fldChar w:fldCharType="separate"/>
      </w:r>
      <w:r w:rsidRPr="00CE6C83">
        <w:rPr>
          <w:noProof/>
          <w:lang w:val="en-CA"/>
        </w:rPr>
        <w:t>(Allendorf et al. 2010; Bradburd &amp; Ralph 2019; Fenderson et al. 2019)</w:t>
      </w:r>
      <w:r w:rsidRPr="00BD14BD">
        <w:rPr>
          <w:lang w:val="en-CA"/>
        </w:rPr>
        <w:fldChar w:fldCharType="end"/>
      </w:r>
      <w:r w:rsidRPr="00BD14BD">
        <w:rPr>
          <w:lang w:val="en-CA"/>
        </w:rPr>
        <w:t xml:space="preserve">. Important events in a population’s history can be detected using genetic data </w:t>
      </w:r>
      <w:r w:rsidRPr="00BD14BD">
        <w:rPr>
          <w:lang w:val="en-CA"/>
        </w:rPr>
        <w:fldChar w:fldCharType="begin" w:fldLock="1"/>
      </w:r>
      <w:r>
        <w:rPr>
          <w:lang w:val="en-CA"/>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Time","type":"article-journal","volume":"50"},"uris":["http://www.mendeley.com/documents/?uuid=8d7ad29f-2932-4ede-b4f6-1ca08c9cfa1b"]}],"mendeley":{"formattedCitation":"(Bradburd &amp; Ralph 2019)","plainTextFormattedCitation":"(Bradburd &amp; Ralph 2019)","previouslyFormattedCitation":"(Bradburd &amp; Ralph 2019)"},"properties":{"noteIndex":0},"schema":"https://github.com/citation-style-language/schema/raw/master/csl-citation.json"}</w:instrText>
      </w:r>
      <w:r w:rsidRPr="00BD14BD">
        <w:rPr>
          <w:lang w:val="en-CA"/>
        </w:rPr>
        <w:fldChar w:fldCharType="separate"/>
      </w:r>
      <w:r w:rsidRPr="00CE6C83">
        <w:rPr>
          <w:noProof/>
          <w:lang w:val="en-CA"/>
        </w:rPr>
        <w:t>(Bradburd &amp; Ralph 2019)</w:t>
      </w:r>
      <w:r w:rsidRPr="00BD14BD">
        <w:rPr>
          <w:lang w:val="en-CA"/>
        </w:rPr>
        <w:fldChar w:fldCharType="end"/>
      </w:r>
      <w:r w:rsidRPr="00BD14BD">
        <w:rPr>
          <w:lang w:val="en-CA"/>
        </w:rPr>
        <w:t>, however, novel techniques are needed to quantify and track such events through both space and time.</w:t>
      </w:r>
    </w:p>
    <w:p w14:paraId="34B84D4A" w14:textId="77777777" w:rsidR="008D3B5A" w:rsidRPr="00BD14BD" w:rsidRDefault="008D3B5A" w:rsidP="004775A3">
      <w:pPr>
        <w:spacing w:line="480" w:lineRule="auto"/>
        <w:rPr>
          <w:rFonts w:eastAsia="Times New Roman"/>
          <w:lang w:val="en-CA"/>
        </w:rPr>
      </w:pPr>
      <w:r w:rsidRPr="00BD14BD">
        <w:rPr>
          <w:rFonts w:eastAsia="Times New Roman"/>
          <w:lang w:val="en-CA"/>
        </w:rPr>
        <w:t>Spatiotemporal variation in genetic diversity can provide important insights into</w:t>
      </w:r>
      <w:r w:rsidRPr="00BD14BD">
        <w:rPr>
          <w:lang w:val="en-CA"/>
        </w:rPr>
        <w:t xml:space="preserve"> the connectivity and demographic history of populations </w:t>
      </w:r>
      <w:r w:rsidRPr="00BD14BD">
        <w:rPr>
          <w:lang w:val="en-CA"/>
        </w:rPr>
        <w:fldChar w:fldCharType="begin" w:fldLock="1"/>
      </w:r>
      <w:r>
        <w:rPr>
          <w:lang w:val="en-CA"/>
        </w:rPr>
        <w:instrText>ADDIN CSL_CITATION {"citationItems":[{"id":"ITEM-1","itemData":{"DOI":"10.1111/eva.12617","ISSN":"17524571","abstract":"©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A.","non-dropping-particle":"","parse-names":false,"suffix":""},{"dropping-particle":"","family":"Fortin","given":"Marie-Josée","non-dropping-particle":"","parse-names":false,"suffix":""},{"dropping-particle":"","family":"Scribner","given":"Kim T.","non-dropping-particle":"","parse-names":false,"suffix":""}],"container-title":"Evolutionary Applications","id":"ITEM-1","issue":"8","issued":{"date-parts":[["2018"]]},"page":"1219-1230","title":"Beyond the snapshot: Landscape genetic analysis of time series data reveal responses of American black bears to landscape change","type":"article-journal","volume":"11"},"uris":["http://www.mendeley.com/documents/?uuid=b334cca4-d631-4a5f-9c00-24ad276874bb"]},{"id":"ITEM-2","itemData":{"DOI":"10.1007/s10592-017-0948-4","ISBN":"0123456789","ISSN":"15729737","abstract":"Reintroductions—captive-born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Genetics","id":"ITEM-2","issue":"5","issued":{"date-parts":[["2017"]]},"page":"995-1009","publisher":"Springer Netherlands","title":"Temporal genetic dynamics of reintroduced and translocated populations of the endangered golden lion tamarin (Leontopithecus rosalia)","type":"article-journal","volume":"18"},"uris":["http://www.mendeley.com/documents/?uuid=7d71e0a9-3eb2-45a3-aeeb-a97eab5c25bd"]}],"mendeley":{"formattedCitation":"(Draheim et al. 2018; Moraes et al. 2017)","plainTextFormattedCitation":"(Draheim et al. 2018; Moraes et al. 2017)","previouslyFormattedCitation":"(Draheim et al. 2018; Moraes et al. 2017)"},"properties":{"noteIndex":0},"schema":"https://github.com/citation-style-language/schema/raw/master/csl-citation.json"}</w:instrText>
      </w:r>
      <w:r w:rsidRPr="00BD14BD">
        <w:rPr>
          <w:lang w:val="en-CA"/>
        </w:rPr>
        <w:fldChar w:fldCharType="separate"/>
      </w:r>
      <w:r w:rsidRPr="00BD14BD">
        <w:rPr>
          <w:noProof/>
          <w:lang w:val="en-CA"/>
        </w:rPr>
        <w:t>(Draheim et al. 2018; Moraes et al. 2017)</w:t>
      </w:r>
      <w:r w:rsidRPr="00BD14BD">
        <w:rPr>
          <w:lang w:val="en-CA"/>
        </w:rPr>
        <w:fldChar w:fldCharType="end"/>
      </w:r>
      <w:r w:rsidRPr="00BD14BD">
        <w:rPr>
          <w:lang w:val="en-CA"/>
        </w:rPr>
        <w:t>.</w:t>
      </w:r>
      <w:r w:rsidRPr="00BD14BD">
        <w:rPr>
          <w:rFonts w:eastAsia="Times New Roman"/>
          <w:lang w:val="en-CA"/>
        </w:rPr>
        <w:t xml:space="preserve"> Indeed, population genetics has proven essential for translating observed genetic variation into meaningful inferences that can inform conservation efforts </w:t>
      </w:r>
      <w:r w:rsidRPr="00BD14BD">
        <w:rPr>
          <w:rFonts w:eastAsia="Times New Roman"/>
          <w:lang w:val="en-CA"/>
        </w:rPr>
        <w:fldChar w:fldCharType="begin" w:fldLock="1"/>
      </w:r>
      <w:r w:rsidRPr="00BD14BD">
        <w:rPr>
          <w:rFonts w:eastAsia="Times New Roman"/>
          <w:lang w:val="en-CA"/>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et al. 2010; Harrisson et al. 2014; Segelbacher et al. 2010)","plainTextFormattedCitation":"(Allendorf et al. 2010; Harrisson et al. 2014; Segelbacher et al. 2010)","previouslyFormattedCitation":"(Allendorf et al. 2010; Harrisson et al. 2014; Segelbacher et al. 2010)"},"properties":{"noteIndex":0},"schema":"https://github.com/citation-style-language/schema/raw/master/csl-citation.json"}</w:instrText>
      </w:r>
      <w:r w:rsidRPr="00BD14BD">
        <w:rPr>
          <w:rFonts w:eastAsia="Times New Roman"/>
          <w:lang w:val="en-CA"/>
        </w:rPr>
        <w:fldChar w:fldCharType="separate"/>
      </w:r>
      <w:r w:rsidRPr="00BD14BD">
        <w:rPr>
          <w:rFonts w:eastAsia="Times New Roman"/>
          <w:noProof/>
          <w:lang w:val="en-CA"/>
        </w:rPr>
        <w:t>(Allendorf et al. 2010; Harrisson et al. 2014; Segelbacher et al. 2010)</w:t>
      </w:r>
      <w:r w:rsidRPr="00BD14BD">
        <w:rPr>
          <w:rFonts w:eastAsia="Times New Roman"/>
          <w:lang w:val="en-CA"/>
        </w:rPr>
        <w:fldChar w:fldCharType="end"/>
      </w:r>
      <w:r w:rsidRPr="00BD14BD">
        <w:rPr>
          <w:rFonts w:eastAsia="Times New Roman"/>
          <w:lang w:val="en-CA"/>
        </w:rPr>
        <w:t xml:space="preserve">, and the causes and consequences of temporal variation in genetic diversity are at the crux of many conservation and public health issues </w:t>
      </w:r>
      <w:r w:rsidRPr="00BD14BD">
        <w:rPr>
          <w:rFonts w:eastAsia="Times New Roman"/>
          <w:lang w:val="en-CA"/>
        </w:rPr>
        <w:fldChar w:fldCharType="begin" w:fldLock="1"/>
      </w:r>
      <w:r>
        <w:rPr>
          <w:rFonts w:eastAsia="Times New Roman"/>
          <w:lang w:val="en-CA"/>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rosalia)","type":"article-journal","volume":"18"},"uris":["http://www.mendeley.com/documents/?uuid=7d71e0a9-3eb2-45a3-aeeb-a97eab5c25bd"]},{"id":"ITEM-2","itemData":{"DOI":"10.1016/j.tree.2017.12.002","ISSN":"01695347","abstract":"Many species have undergone dramatic population size declines over the past centuries. Although stochastic genetic processes during and after such declines are thought to elevate the risk of extinction, comparative analyses of genomic data from several endangered species suggest little concordance between genome-wide diversity and current population sizes. This is likely because species-specific life-history traits and ancient bottlenecks overshadow the genetic effect of recent demographic declines. Therefore, we advocate that temporal sampling of genomic data provides a more accurate approach to quantify genetic threats in endangered species. Specifically, genomic data from predecline museum specimens will provide valuable baseline data that enable accurate estimation of recent decreases in genome-wide diversity, increases in inbreeding levels, and accumulation of deleterious genetic variation.","author":[{"dropping-particle":"","family":"Díez-del-Molino","given":"David","non-dropping-particle":"","parse-names":false,"suffix":""},{"dropping-particle":"","family":"Sánchez-Barreiro","given":"Fatima","non-dropping-particle":"","parse-names":false,"suffix":""},{"dropping-particle":"","family":"Barnes","given":"Ian","non-dropping-particle":"","parse-names":false,"suffix":""},{"dropping-particle":"","family":"Gilbert","given":"M. Thomas P.","non-dropping-particle":"","parse-names":false,"suffix":""},{"dropping-particle":"","family":"Dalén","given":"Love","non-dropping-particle":"","parse-names":false,"suffix":""}],"container-title":"Trends in Ecology and Evolution","id":"ITEM-2","issue":"3","issued":{"date-parts":[["2018"]]},"page":"176-185","publisher":"Elsevier Ltd","title":"Quantifying Temporal Genomic Erosion in Endangered Species","type":"article-journal","volume":"33"},"uris":["http://www.mendeley.com/documents/?uuid=6490b294-2981-4b13-af74-d61203972718"]},{"id":"ITEM-3","itemData":{"DOI":"10.1016/j.foreco.2018.12.058","ISSN":"03781127","abstract":"Anthropic pressure has caused several changes in the environment, such as habitat loss and fragmentation. One effective way to evaluate its effects on population genetics is to monitor populations through time. We aimed to characterize the population genetics of six plant species at two different times (cohorts). We asked (1) if populations show genetic divergence between cohorts, (2) if any significant changes are present between the genetic index of cohorts and, if so, (3) whether such changes are related to the adult cohort fixation index. To address these questions, we studied 61 populations of 50 adult and 50 seedling individuals genotyped with allozyme markers. We calculated allelic richness (Ar), observed (Ho) and expected heterozygosity (He), and fixation index (f) for each population cohort; and pairwise F ST between cohorts. Seedlings were genetically similar to the adults (mean pairwise F ST = 0.014). No difference was found in the proportion of populations that showed increases and decreases of the genetic indexes over cohorts, except f, for which more populations showed a decrease. Adult fixation index had a correlation with Ho (r = 0.507, p = 3∙10 −5 ) and He (r = −0.247, p = 0.055). A mean test between cohorts revealed the maintenance of high f values in Araucaria angustifolia and Ocotea catharinensis, as well as a significant decrease in He of Euterpe edulis, species widely explored in the past. Although we only studied two cohorts, general trends and significant changes were detected, which could be important in the conservation of those six species.","author":[{"dropping-particle":"","family":"Lauterjung","given":"Miguel Busarello","non-dropping-particle":"","parse-names":false,"suffix":""},{"dropping-particle":"","family":"Montagna","given":"Tiago","non-dropping-particle":"","parse-names":false,"suffix":""},{"dropping-particle":"","family":"Bernardi","given":"Alison Paulo","non-dropping-particl</w:instrText>
      </w:r>
      <w:r w:rsidRPr="005A604A">
        <w:rPr>
          <w:rFonts w:eastAsia="Times New Roman"/>
          <w:lang w:val="fr-FR"/>
        </w:rPr>
        <w:instrText>e":"","parse-names":false,"suffix":""},{"dropping-particle":"","family":"Silva","given":"Juliano Zago","non-dropping-particle":"da","parse-names":false,"suffix":""},{"dropping-particle":"","family":"Costa","given":"Newton Clóvis Freitas","non-dropping-particle":"da","parse-names":false,"suffix":""},{"dropping-particle":"","family":"Steiner","given":"Felipe","non-dropping-particle":"","parse-names":false,"suffix":""},{"dropping-particle":"","family":"Mantovani","given":"Adelar","non-dropping-particle":"","parse-names":false,"suffix":""},{"dropping-particle":"","family":"Reis","given":"Maurício Sedrez","non-dropping-particle":"dos","parse-names":false,"suffix":""}],"container-title":"Forest Ecology and Management","id":"ITEM-3","issued":{"date-parts":[["2019"]]},"page":"144-150","publisher":"Elsevier","title":"Temporal changes in population genetics of six threatened Brazilian plant species in a fragmented landscape","type":"article-journal","volume":"435"},"uris":["http://www.mendeley.com/documents/?uuid=9bd1dcb3-564c-4adf-8ceb-377304856ad0"]}],"mendeley":{"formattedCitation":"(Díez-del-Molino et al. 2018; Lauterjung et al. 2019; Moraes et al. 2017)","plainTextFormattedCitation":"(Díez-del-Molino et al. 2018; Lauterjung et al. 2019; Moraes et al. 2017)","previouslyFormattedCitation":"(Díez-del-Molino et al. 2018; Lauterjung et al. 2019; Moraes et al. 2017)"},"properties":{"noteIndex":0},"schema":"https://github.com/citation-style-language/schema/raw/master/csl-citation.json"}</w:instrText>
      </w:r>
      <w:r w:rsidRPr="00BD14BD">
        <w:rPr>
          <w:rFonts w:eastAsia="Times New Roman"/>
          <w:lang w:val="en-CA"/>
        </w:rPr>
        <w:fldChar w:fldCharType="separate"/>
      </w:r>
      <w:r w:rsidRPr="005A604A">
        <w:rPr>
          <w:rFonts w:eastAsia="Times New Roman"/>
          <w:noProof/>
          <w:lang w:val="fr-FR"/>
        </w:rPr>
        <w:t>(Díez-del-Molino et al. 2018; Lauterjung et al. 2019; Moraes et al. 2017)</w:t>
      </w:r>
      <w:r w:rsidRPr="00BD14BD">
        <w:rPr>
          <w:rFonts w:eastAsia="Times New Roman"/>
          <w:lang w:val="en-CA"/>
        </w:rPr>
        <w:fldChar w:fldCharType="end"/>
      </w:r>
      <w:r w:rsidRPr="005A604A">
        <w:rPr>
          <w:rFonts w:eastAsia="Times New Roman"/>
          <w:lang w:val="fr-FR"/>
        </w:rPr>
        <w:t xml:space="preserve">. </w:t>
      </w:r>
      <w:r w:rsidRPr="00BD14BD">
        <w:rPr>
          <w:rFonts w:eastAsia="Times New Roman"/>
          <w:lang w:val="en-CA"/>
        </w:rPr>
        <w:t xml:space="preserve">Researchers commonly explore patterns in spatiotemporal population genetic data </w:t>
      </w:r>
      <w:r w:rsidRPr="00BD14BD">
        <w:rPr>
          <w:rFonts w:eastAsia="Times New Roman"/>
          <w:lang w:val="en-CA"/>
        </w:rPr>
        <w:fldChar w:fldCharType="begin" w:fldLock="1"/>
      </w:r>
      <w:r w:rsidRPr="00BD14BD">
        <w:rPr>
          <w:rFonts w:eastAsia="Times New Roman"/>
          <w:lang w:val="en-CA"/>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diversity?","type":"article-journal","volume":"28"},"uris":["http://www.mendeley.com/documents/?uuid=263ebde8-1a19-49d1-b113-1986d65ec305"]}],"mendeley":{"formattedCitation":"(Banks et al. 2013)","plainTextFormattedCitation":"(Banks et al. 2013)","previouslyFormattedCitation":"(Banks et al. 2013)"},"properties":{"noteIndex":0},"schema":"https://github.com/citation-style-language/schema/raw/master/csl-citation.json"}</w:instrText>
      </w:r>
      <w:r w:rsidRPr="00BD14BD">
        <w:rPr>
          <w:rFonts w:eastAsia="Times New Roman"/>
          <w:lang w:val="en-CA"/>
        </w:rPr>
        <w:fldChar w:fldCharType="separate"/>
      </w:r>
      <w:r w:rsidRPr="00BD14BD">
        <w:rPr>
          <w:rFonts w:eastAsia="Times New Roman"/>
          <w:noProof/>
          <w:lang w:val="en-CA"/>
        </w:rPr>
        <w:t>(Banks et al. 2013)</w:t>
      </w:r>
      <w:r w:rsidRPr="00BD14BD">
        <w:rPr>
          <w:rFonts w:eastAsia="Times New Roman"/>
          <w:lang w:val="en-CA"/>
        </w:rPr>
        <w:fldChar w:fldCharType="end"/>
      </w:r>
      <w:r w:rsidRPr="00BD14BD">
        <w:rPr>
          <w:rFonts w:eastAsia="Times New Roman"/>
          <w:lang w:val="en-CA"/>
        </w:rPr>
        <w:t xml:space="preserve"> to quantify isolation-by-distance </w:t>
      </w:r>
      <w:r w:rsidRPr="00BD14BD">
        <w:rPr>
          <w:rFonts w:eastAsia="Times New Roman"/>
          <w:lang w:val="en-CA"/>
        </w:rPr>
        <w:fldChar w:fldCharType="begin" w:fldLock="1"/>
      </w:r>
      <w:r w:rsidRPr="00BD14BD">
        <w:rPr>
          <w:rFonts w:eastAsia="Times New Roman"/>
          <w:lang w:val="en-CA"/>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Distance","type":"article-journal","volume":"145"},"uris":["http://www.mendeley.com/documents/?uuid=af62674a-6f80-4eca-9876-4c10d2af480e"]}],"mendeley":{"formattedCitation":"(Rousset 1997; Wright 1943)","plainTextFormattedCitation":"(Rousset 1997; Wright 1943)","previouslyFormattedCitation":"(Rousset 1997; Wright 1943)"},"properties":{"noteIndex":0},"schema":"https://github.com/citation-style-language/schema/raw/master/csl-citation.json"}</w:instrText>
      </w:r>
      <w:r w:rsidRPr="00BD14BD">
        <w:rPr>
          <w:rFonts w:eastAsia="Times New Roman"/>
          <w:lang w:val="en-CA"/>
        </w:rPr>
        <w:fldChar w:fldCharType="separate"/>
      </w:r>
      <w:r w:rsidRPr="00BD14BD">
        <w:rPr>
          <w:rFonts w:eastAsia="Times New Roman"/>
          <w:noProof/>
          <w:lang w:val="en-CA"/>
        </w:rPr>
        <w:t>(Rousset 1997; Wright 1943)</w:t>
      </w:r>
      <w:r w:rsidRPr="00BD14BD">
        <w:rPr>
          <w:rFonts w:eastAsia="Times New Roman"/>
          <w:lang w:val="en-CA"/>
        </w:rPr>
        <w:fldChar w:fldCharType="end"/>
      </w:r>
      <w:r w:rsidRPr="00BD14BD">
        <w:rPr>
          <w:rFonts w:eastAsia="Times New Roman"/>
          <w:lang w:val="en-CA"/>
        </w:rPr>
        <w:t xml:space="preserve">, time since population bottlenecks </w:t>
      </w:r>
      <w:r w:rsidRPr="00BD14BD">
        <w:rPr>
          <w:rFonts w:eastAsia="Times New Roman"/>
          <w:lang w:val="en-CA"/>
        </w:rPr>
        <w:fldChar w:fldCharType="begin" w:fldLock="1"/>
      </w:r>
      <w:r w:rsidRPr="00BD14BD">
        <w:rPr>
          <w:rFonts w:eastAsia="Times New Roman"/>
          <w:lang w:val="en-CA"/>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 Maruyama &amp; Fuerstt 1985)","plainTextFormattedCitation":"(Gattepaille et al. 2013; Maruyama &amp; Fuerstt 1985)","previouslyFormattedCitation":"(Gattepaille et al. 2013; Maruyama &amp; Fuerstt 1985)"},"properties":{"noteIndex":0},"schema":"https://github.com/citation-style-language/schema/raw/master/csl-citation.json"}</w:instrText>
      </w:r>
      <w:r w:rsidRPr="00BD14BD">
        <w:rPr>
          <w:rFonts w:eastAsia="Times New Roman"/>
          <w:lang w:val="en-CA"/>
        </w:rPr>
        <w:fldChar w:fldCharType="separate"/>
      </w:r>
      <w:r w:rsidRPr="00BD14BD">
        <w:rPr>
          <w:rFonts w:eastAsia="Times New Roman"/>
          <w:noProof/>
          <w:lang w:val="en-CA"/>
        </w:rPr>
        <w:t>(Gattepaille et al. 2013; Maruyama &amp; Fuerstt 1985)</w:t>
      </w:r>
      <w:r w:rsidRPr="00BD14BD">
        <w:rPr>
          <w:rFonts w:eastAsia="Times New Roman"/>
          <w:lang w:val="en-CA"/>
        </w:rPr>
        <w:fldChar w:fldCharType="end"/>
      </w:r>
      <w:r w:rsidRPr="00BD14BD">
        <w:rPr>
          <w:rFonts w:eastAsia="Times New Roman"/>
          <w:lang w:val="en-CA"/>
        </w:rPr>
        <w:t xml:space="preserve">, rates of migration between isolated populations </w:t>
      </w:r>
      <w:r w:rsidRPr="00BD14BD">
        <w:rPr>
          <w:rFonts w:eastAsia="Times New Roman"/>
          <w:lang w:val="en-CA"/>
        </w:rPr>
        <w:fldChar w:fldCharType="begin" w:fldLock="1"/>
      </w:r>
      <w:r w:rsidRPr="00BD14BD">
        <w:rPr>
          <w:rFonts w:eastAsia="Times New Roman"/>
          <w:lang w:val="en-CA"/>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Ecology","id":"ITEM-2","issue":"14","issued":{"date-parts":[["2019"]]},"page":"3339-3357","title":"Conservation of old individual trees and small populations is integral to maintain species' genetic diversity of a historically fragmented woody perennial","type":"article-journal","volume":"28"},"uris":["http://www.mendeley.com/documents/?uuid=198461dd-0929-4ab8-a2ff-0ae1bf6f0624"]}],"mendeley":{"formattedCitation":"(Bezemer et al. 2019; Buschbom et al. 2011)","plainTextFormattedCitation":"(Bezemer et al. 2019; Buschbom et al. 2011)","previouslyFormattedCitation":"(Bezemer et al. 2019; Buschbom et al. 2011)"},"properties":{"noteIndex":0},"schema":"https://github.com/citation-style-language/schema/raw/master/csl-citation.json"}</w:instrText>
      </w:r>
      <w:r w:rsidRPr="00BD14BD">
        <w:rPr>
          <w:rFonts w:eastAsia="Times New Roman"/>
          <w:lang w:val="en-CA"/>
        </w:rPr>
        <w:fldChar w:fldCharType="separate"/>
      </w:r>
      <w:r w:rsidRPr="00BD14BD">
        <w:rPr>
          <w:rFonts w:eastAsia="Times New Roman"/>
          <w:noProof/>
          <w:lang w:val="en-CA"/>
        </w:rPr>
        <w:t>(Bezemer et al. 2019; Buschbom et al. 2011)</w:t>
      </w:r>
      <w:r w:rsidRPr="00BD14BD">
        <w:rPr>
          <w:rFonts w:eastAsia="Times New Roman"/>
          <w:lang w:val="en-CA"/>
        </w:rPr>
        <w:fldChar w:fldCharType="end"/>
      </w:r>
      <w:r w:rsidRPr="00BD14BD">
        <w:rPr>
          <w:rFonts w:eastAsia="Times New Roman"/>
          <w:lang w:val="en-CA"/>
        </w:rPr>
        <w:t xml:space="preserve">, and the timing and extent of outbreak expansions </w:t>
      </w:r>
      <w:r w:rsidRPr="00BD14BD">
        <w:rPr>
          <w:rFonts w:eastAsia="Times New Roman"/>
          <w:lang w:val="en-CA"/>
        </w:rPr>
        <w:fldChar w:fldCharType="begin" w:fldLock="1"/>
      </w:r>
      <w:r>
        <w:rPr>
          <w:rFonts w:eastAsia="Times New Roman"/>
          <w:lang w:val="en-CA"/>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Applications","id":"ITEM-1","issue":"10","issued":{"date-parts":[["2019"]]},"page":"1931-1945","title":"Temporal variation in spatial genetic structure during population outbreaks: Distinguishing among different potential drivers of spatial synchrony","type":"article-journal","volume":"12"},"uris":["http://www.mendeley.com/documents/?uuid=8e6e6a3b-0d15-4092-888d-62f1f0ed6f84"]},{"id":"ITEM-2","itemData":{"DOI":"10.1139/cjfr-2018-0417","ISSN":"0045-5067","abstract":"The current mountain pine beetle (MPB; Dendroctonus ponderosae Hopkins, 1902) outbreak has reached more than 25 million hectares of forests in North America, affecting pine species throughout the region and substantially changing landscapes. However, landscape features that enhance or limit dispersal during the geographic expansion associated with the outbreak are poorly understood. One of the obstacles in evaluating the effects of landscape features on dispersal is the parameterization of resistance surfaces, which are often constructed based on biased expert opinion or by making assumptions in the calculation of ecological distances. In this study, we assessed the impact of four environmental variables on MPB genetic connectivity across western Canada. We optimized resistance surfaces using genetic algorithms and models of maximum likelihood population effects, based on pairwise genetic distances and ecological distances calculated using random-walk commute-time distances. Unlike other methods for the development of resistance surfaces, this approach does not make a priori assumptions about the direction or shape of the relationships between environmental features and their cost to movement. We found highest support for a composite resistance surface including elevation and climate. These results further the understanding of MPB movement during an outbreak. Additionally, we demonstrated how to use our results for management purposes.","author":[{"dropping-particle":"","family":"Wittische","given":"Julian","non-dropping-particle":"","parse-names":false,"suffix":""},{"dropping-particle":"","family":"Janes","given":"Jasmine K.","non-dropping-particle":"","parse-names":false,"suffix":""},{"dropping-particle":"","family":"James","given":"Patrick M. A.","non-dropping-particle":"","parse-names":false,"suffix":""}],"container-title":"Canadian Journal of Forest Research","id":"ITEM-2","issue":"11","issued":{"date-parts":[["2019"]]},"page":"1339-1348","title":"Modelling landscape genetic connectivity of the mountain pine beetle in western Canada","type":"article-journal","volume":"49"},"uris":["http://www.mendeley.com/documents/?uuid=1b3af457-7489-47ac-9782-0c20d8be0351"]},{"id":"ITEM-3","itemData":{"DOI":"10.1111/mec.13025","ISSN":"09621083","author":[{"dropping-particle":"","family":"James","given":"Patrick M. A.","non-dropping-particle":"","parse-names":false,"suffix":""},{"dropping-particle":"","family":"Cooke","given":"Barry J.","non-dropping-particle":"","parse-names":false,"suffix":""},{"dropping-particle":"","family":"Brunet","given":"Bryan M. T.","non-dropping-particle":"","parse-names":false,"suffix":""},{"dropping-particle":"","family":"Lumley","given":"Lisa M.","non-dropping-particle":"","parse-names":false,"suffix":""},{"dropping-particle":"","family":"Sperling","given":"Felix A.H.","non-dropping-particle":"","parse-names":false,"suffix":""},{"dropping-particle":"","family":"Fortin","given":"Marie-Josée","non-dropping-particle":"","parse-names":false,"suffix":""},{"dropping-particle":"","family":"Quinn","given":"Vanessa S.","non-dropping-particle":"","parse-names":false,"suffix":""},{"dropping-particle":"","family":"Sturtevant","given":"Brian R.","non-dropping-particle":"","parse-names":false,"suffix":""}],"container-title":"Molecular Ecology","id":"ITEM-3","issue":"2","issued":{"date-parts":[["2015"]]},"page":"296-309","title":"Life-stage differences in spatial genetic structure in an irruptive forest insect: implications for dispersal and spatial synchrony","type":"article-journal","volume":"24"},"uris":["http://www.mendeley.com/documents/?uuid=8b68a607-8e22-43f4-850c-4e3a705704e6"]}],"mendeley":{"formattedCitation":"(James et al. 2015; Larroque et al. 2019; Wittische et al. 2019)","plainTextFormattedCitation":"(James et al. 2015; Larroque et al. 2019; Wittische et al. 2019)","previouslyFormattedCitation":"(James et al. 2015; Larroque et al. 2019; Wittische et al. 2019)"},"properties":{"noteIndex":0},"schema":"https://github.com/citation-style-language/schema/raw/master/csl-citation.json"}</w:instrText>
      </w:r>
      <w:r w:rsidRPr="00BD14BD">
        <w:rPr>
          <w:rFonts w:eastAsia="Times New Roman"/>
          <w:lang w:val="en-CA"/>
        </w:rPr>
        <w:fldChar w:fldCharType="separate"/>
      </w:r>
      <w:r w:rsidRPr="00BD14BD">
        <w:rPr>
          <w:rFonts w:eastAsia="Times New Roman"/>
          <w:noProof/>
          <w:lang w:val="en-CA"/>
        </w:rPr>
        <w:t>(James et al. 2015; Larroque et al. 2019; Wittische et al. 2019)</w:t>
      </w:r>
      <w:r w:rsidRPr="00BD14BD">
        <w:rPr>
          <w:rFonts w:eastAsia="Times New Roman"/>
          <w:lang w:val="en-CA"/>
        </w:rPr>
        <w:fldChar w:fldCharType="end"/>
      </w:r>
      <w:r w:rsidRPr="00BD14BD">
        <w:rPr>
          <w:rFonts w:eastAsia="Times New Roman"/>
          <w:lang w:val="en-CA"/>
        </w:rPr>
        <w:t>.</w:t>
      </w:r>
    </w:p>
    <w:p w14:paraId="1D79DDE3" w14:textId="77777777" w:rsidR="008D3B5A" w:rsidRPr="00BD14BD" w:rsidRDefault="008D3B5A" w:rsidP="004775A3">
      <w:pPr>
        <w:spacing w:line="480" w:lineRule="auto"/>
        <w:rPr>
          <w:lang w:val="en-CA"/>
        </w:rPr>
      </w:pPr>
      <w:r w:rsidRPr="00BD14BD">
        <w:rPr>
          <w:lang w:val="en-CA"/>
        </w:rPr>
        <w:lastRenderedPageBreak/>
        <w:t xml:space="preserve">However, new approaches are needed to detect meaningful temporal variation in genetic diversity. </w:t>
      </w:r>
      <w:r>
        <w:rPr>
          <w:lang w:val="en-CA"/>
        </w:rPr>
        <w:t xml:space="preserve">The significance of genetic changes may be derived from the comparison to an expected reference distribution, or a null model based on typical background processes (e.g., drift, local gene, flow, mutation). </w:t>
      </w:r>
      <w:r w:rsidRPr="00BD14BD">
        <w:rPr>
          <w:lang w:val="en-CA"/>
        </w:rPr>
        <w:t xml:space="preserve">Detecting such meaningful temporal changes represents a first step in elucidating the processes that govern demographically dynamic systems such as those found during population outbreaks </w:t>
      </w:r>
      <w:r w:rsidRPr="00BD14BD">
        <w:rPr>
          <w:lang w:val="en-CA"/>
        </w:rPr>
        <w:fldChar w:fldCharType="begin" w:fldLock="1"/>
      </w:r>
      <w:r w:rsidRPr="00BD14BD">
        <w:rPr>
          <w:lang w:val="en-CA"/>
        </w:rPr>
        <w:instrText>ADDIN CSL_CITATION {"citationItems":[{"id":"ITEM-1","itemData":{"DOI":"10.1371/journal.pntd.0005546","ISBN":"1111111111","ISSN":"19352735","PMID":"28410388","abstract":"Background: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Indo-Pacific","type":"article-journal","volume":"11"},"uris":["http://www.mendeley.com/documents/?uuid=30ae3e6e-b311-46e0-9cf0-222efe4de308"]},{"id":"ITEM-2","itemData":{"DOI":"10.1038/s41579-020-0335-x","ISSN":"17401534","PMID":"32099078","abstract":"Discovering that chytrid fungi cause chytridiomycosis in amphibians represented a paradigm shift in our understanding of how emerging infectious diseases contribute to global patterns of biodiversity loss. In this Review we describe how the use of multidisciplinary biological approaches has been essential to pinpointing the origins of amphibian-parasitizing chytrid fungi, including Batrachochytrium dendrobatidis and Batrachochytrium salamandrivorans, as well as to timing their emergence, tracking their cycles of expansion and identifying the core mechanisms that underpin their pathogenicity. We discuss the development of the experimental methods and bioinformatics toolkits that have provided a fuller understanding of batrachochytrid biology and informed policy and control measures.","author":[{"dropping-particle":"","family":"Fisher","given":"Matthew C.","non-dropping-particle":"","parse-names":false,"suffix":""},{"dropping-particle":"","family":"Garner","given":"Trenton W.J.","non-dropping-particle":"","parse-names":false,"suffix":""}],"container-title":"Nature Reviews Microbiology","id":"ITEM-2","issue":"6","issued":{"date-parts":[["2020"]]},"page":"332-343","publisher":"Springer US","title":"Chytrid fungi and global amphibian declines","type":"article-journal","volume":"18"},"uris":["http://www.mendeley.com/documents/?uuid=14c65ebc-3ee1-48bb-91a6-5332a0632fb2"]}],"mendeley":{"formattedCitation":"(Fisher &amp; Garner 2020; Maynard et al. 2017)","plainTextFormattedCitation":"(Fisher &amp; Garner 2020; Maynard et al. 2017)","previouslyFormattedCitation":"(Fisher &amp; Garner 2020; Maynard et al. 2017)"},"properties":{"noteIndex":0},"schema":"https://github.com/citation-style-language/schema/raw/master/csl-citation.json"}</w:instrText>
      </w:r>
      <w:r w:rsidRPr="00BD14BD">
        <w:rPr>
          <w:lang w:val="en-CA"/>
        </w:rPr>
        <w:fldChar w:fldCharType="separate"/>
      </w:r>
      <w:r w:rsidRPr="00BD14BD">
        <w:rPr>
          <w:noProof/>
          <w:lang w:val="en-CA"/>
        </w:rPr>
        <w:t>(Fisher &amp; Garner 2020; Maynard et al. 2017)</w:t>
      </w:r>
      <w:r w:rsidRPr="00BD14BD">
        <w:rPr>
          <w:lang w:val="en-CA"/>
        </w:rPr>
        <w:fldChar w:fldCharType="end"/>
      </w:r>
      <w:r w:rsidRPr="00BD14BD">
        <w:rPr>
          <w:lang w:val="en-CA"/>
        </w:rPr>
        <w:t xml:space="preserve">, major weather events </w:t>
      </w:r>
      <w:r w:rsidRPr="00BD14BD">
        <w:rPr>
          <w:lang w:val="en-CA"/>
        </w:rPr>
        <w:fldChar w:fldCharType="begin" w:fldLock="1"/>
      </w:r>
      <w:r w:rsidRPr="00BD14BD">
        <w:rPr>
          <w:lang w:val="en-CA"/>
        </w:rPr>
        <w:instrText>ADDIN CSL_CITATION {"citationItems":[{"id":"ITEM-1","itemData":{"DOI":"10.1111/ele.12918","ISSN":"14610248","abstract":"The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Letters","id":"ITEM-1","issue":"4","issued":{"date-parts":[["2018"]]},"page":"525-535","title":"Extreme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2018)","plainTextFormattedCitation":"(Poff et al. 2018)","previouslyFormattedCitation":"(Poff et al. 2018)"},"properties":{"noteIndex":0},"schema":"https://github.com/citation-style-language/schema/raw/master/csl-citation.json"}</w:instrText>
      </w:r>
      <w:r w:rsidRPr="00BD14BD">
        <w:rPr>
          <w:lang w:val="en-CA"/>
        </w:rPr>
        <w:fldChar w:fldCharType="separate"/>
      </w:r>
      <w:r w:rsidRPr="00BD14BD">
        <w:rPr>
          <w:noProof/>
          <w:lang w:val="en-CA"/>
        </w:rPr>
        <w:t>(Poff et al. 2018)</w:t>
      </w:r>
      <w:r w:rsidRPr="00BD14BD">
        <w:rPr>
          <w:lang w:val="en-CA"/>
        </w:rPr>
        <w:fldChar w:fldCharType="end"/>
      </w:r>
      <w:r w:rsidRPr="00BD14BD">
        <w:rPr>
          <w:lang w:val="en-CA"/>
        </w:rPr>
        <w:t xml:space="preserve">, species invasions </w:t>
      </w:r>
      <w:r w:rsidRPr="00BD14BD">
        <w:rPr>
          <w:lang w:val="en-CA"/>
        </w:rPr>
        <w:fldChar w:fldCharType="begin" w:fldLock="1"/>
      </w:r>
      <w:r w:rsidRPr="00BD14BD">
        <w:rPr>
          <w:lang w:val="en-CA"/>
        </w:rPr>
        <w:instrText>ADDIN CSL_CITATION {"citationItems":[{"id":"ITEM-1","itemData":{"DOI":"10.1890/1051-0761(2000)010[0689:BICEGC]2.0.CO;2","ISBN":"10510761","ISSN":"10510761","PMID":"10049","abstract":"Biotic invaders are species that establish a new range in which they proliferate, spread, and persist to the detriment of the environment. They are the most important ecological outcomes from the unprecedented alterations in the distribution of the earth's biota brought about largely through human transport and commerce. In a world without borders, few if any areas remain sheltered from these immigrations. The fate of immigrants is decidedly mixed. Few survive the hazards of chronic and stochastic forces, and only a small fraction become naturalized. In turn, some naturalized species do become invasive. There are several potential reasons why some immigrant species prosper: some escape from the constraints of their native predators or parasites; others are aided by human-caused disturbance that disrupts native communities. Ironically, many biotic invasions are apparently facilitated by cultivation and husbandry, unintentional actions that foster immigrant populations until they are self-perpetuating and uncontrollable. Whatever the cause, biotic invaders can in many cases inflict enormous environmental damage: (1) Animal invaders can cause extinctions of vulnerable native species through predation, grazing, competition, and habitat alteration. (2) Plant invaders can completely alter the fire regime, nutrient cycling, hydrology, and energy budgets in a native ecosystem and can greatly diminish the abundance or survival of native species. (3) In agriculture, the principal pests of temperate crops are nonindigenous, and the combined expenses of pest control and crop losses constitute an onerous \"tax\" on food, fiber, and forage production. (4) The global cost of virulent plant and animal diseases caused by parasites transported to new ranges and presented with susceptible new hosts is currently incalculable. Identifying future invaders and taking effective steps to prevent their dispersal and establishment constitutes an enormous challenge to both conservation and international commerce. Detection and management when exclusion fails have proved daunting for varied reasons: (1) Efforts to identify general attributes of future invaders have often been inconclusive. (2) Predicting susceptible locales for future invasions seems even more problematic, given the enormous differences in the rates of arrival among potential invaders. (3) Eradication of an established invader is rare, and control efforts vary enormously in their efficacy. Successful control, however…","author":[{"dropping-particle":"","family":"Mack","given":"Richard N.","non-dropping-particle":"","parse-names":false,"suffix":""},{"dropping-particle":"","family":"Simberloff","given":"Daniel","non-dropping-particle":"","parse-names":false,"suffix":""},{"dropping-particle":"","family":"Lonsdale","given":"W. Mark","non-dropping-particle":"","parse-names":false,"suffix":""},{"dropping-particle":"","family":"Evans","given":"Harry","non-dropping-particle":"","parse-names":false,"suffix":""},{"dropping-particle":"","family":"Clout","given":"Michael","non-dropping-particle":"","parse-names":false,"suffix":""},{"dropping-particle":"","family":"Bazzaz","given":"Fakhri a.","non-dropping-particle":"","parse-names":false,"suffix":""}],"container-title":"Ecological Applications","id":"ITEM-1","issue":"3","issued":{"date-parts":[["2000"]]},"page":"689-710","title":"Biotic invasions: Causes, epidemiology, global consequences, and control","type":"article-journal","volume":"10"},"uris":["http://www.mendeley.com/documents/?uuid=b313a004-bdec-4769-8e0f-22c60d52d641"]}],"mendeley":{"formattedCitation":"(Mack et al. 2000)","plainTextFormattedCitation":"(Mack et al. 2000)","previouslyFormattedCitation":"(Mack et al. 2000)"},"properties":{"noteIndex":0},"schema":"https://github.com/citation-style-language/schema/raw/master/csl-citation.json"}</w:instrText>
      </w:r>
      <w:r w:rsidRPr="00BD14BD">
        <w:rPr>
          <w:lang w:val="en-CA"/>
        </w:rPr>
        <w:fldChar w:fldCharType="separate"/>
      </w:r>
      <w:r w:rsidRPr="00BD14BD">
        <w:rPr>
          <w:noProof/>
          <w:lang w:val="en-CA"/>
        </w:rPr>
        <w:t>(Mack et al. 2000)</w:t>
      </w:r>
      <w:r w:rsidRPr="00BD14BD">
        <w:rPr>
          <w:lang w:val="en-CA"/>
        </w:rPr>
        <w:fldChar w:fldCharType="end"/>
      </w:r>
      <w:r w:rsidRPr="00BD14BD">
        <w:rPr>
          <w:lang w:val="en-CA"/>
        </w:rPr>
        <w:t xml:space="preserve">, or other disturbances such as a wildfire </w:t>
      </w:r>
      <w:r w:rsidRPr="00BD14BD">
        <w:rPr>
          <w:lang w:val="en-CA"/>
        </w:rPr>
        <w:fldChar w:fldCharType="begin" w:fldLock="1"/>
      </w:r>
      <w:r w:rsidRPr="00BD14BD">
        <w:rPr>
          <w:lang w:val="en-CA"/>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dropping-particle":"","family":"Sua","given":"N M","non-dropping-particle":"","parse-names":false,"suffix":""},{"dropping-particle":"","family":"Pestano","given":"J.","non-dropping-particle":"","parse-names":false,"suffix":""}],"container-title":"Conservation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polatzeki)","type":"article-journal","volume":"13"},"uris":["http://www.mendeley.com/documents/?uuid=ef6e48b8-f511-4ced-a661-d23ecc4c8f8b"]}],"mendeley":{"formattedCitation":"(Suárez et al. 2012)","plainTextFormattedCitation":"(Suárez et al. 2012)","previouslyFormattedCitation":"(Suárez et al. 2012)"},"properties":{"noteIndex":0},"schema":"https://github.com/citation-style-language/schema/raw/master/csl-citation.json"}</w:instrText>
      </w:r>
      <w:r w:rsidRPr="00BD14BD">
        <w:rPr>
          <w:lang w:val="en-CA"/>
        </w:rPr>
        <w:fldChar w:fldCharType="separate"/>
      </w:r>
      <w:r w:rsidRPr="00BD14BD">
        <w:rPr>
          <w:noProof/>
          <w:lang w:val="en-CA"/>
        </w:rPr>
        <w:t>(Suárez et al. 2012)</w:t>
      </w:r>
      <w:r w:rsidRPr="00BD14BD">
        <w:rPr>
          <w:lang w:val="en-CA"/>
        </w:rPr>
        <w:fldChar w:fldCharType="end"/>
      </w:r>
      <w:r w:rsidRPr="00BD14BD">
        <w:rPr>
          <w:lang w:val="en-CA"/>
        </w:rPr>
        <w:t xml:space="preserve">. Temporal genetic analyses could similarly identify which populations, among a set of previously sampled populations, received migrants from long-distance dispersal events </w:t>
      </w:r>
      <w:r w:rsidRPr="00BD14BD">
        <w:rPr>
          <w:lang w:val="en-CA"/>
        </w:rPr>
        <w:fldChar w:fldCharType="begin" w:fldLock="1"/>
      </w:r>
      <w:r w:rsidRPr="00BD14BD">
        <w:rPr>
          <w:lang w:val="en-CA"/>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et al. 2013)","plainTextFormattedCitation":"(Apodaca et al. 2013)","previouslyFormattedCitation":"(Apodaca et al. 2013)"},"properties":{"noteIndex":0},"schema":"https://github.com/citation-style-language/schema/raw/master/csl-citation.json"}</w:instrText>
      </w:r>
      <w:r w:rsidRPr="00BD14BD">
        <w:rPr>
          <w:lang w:val="en-CA"/>
        </w:rPr>
        <w:fldChar w:fldCharType="separate"/>
      </w:r>
      <w:r w:rsidRPr="00BD14BD">
        <w:rPr>
          <w:noProof/>
          <w:lang w:val="en-CA"/>
        </w:rPr>
        <w:t>(Apodaca et al. 2013)</w:t>
      </w:r>
      <w:r w:rsidRPr="00BD14BD">
        <w:rPr>
          <w:lang w:val="en-CA"/>
        </w:rPr>
        <w:fldChar w:fldCharType="end"/>
      </w:r>
      <w:r w:rsidRPr="00BD14BD">
        <w:rPr>
          <w:lang w:val="en-CA"/>
        </w:rPr>
        <w:t xml:space="preserve">. Because temporal genetic variation reflects the evolutionary potential of a population and the probability of its persistence </w:t>
      </w:r>
      <w:r w:rsidRPr="00BD14BD">
        <w:rPr>
          <w:lang w:val="en-CA"/>
        </w:rPr>
        <w:fldChar w:fldCharType="begin" w:fldLock="1"/>
      </w:r>
      <w:r>
        <w:rPr>
          <w:lang w:val="en-CA"/>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M.","non-dropping-particle":"","parse-names":false,"suffix":""}],"container-title":"Proceedings of the National Academy of Sciences of the United States of America","id":"ITEM-3","issue":"27","issued":{"date-parts":[["2017"]]},"page":"7061-7066","title":"Population-genomic inference of the strength and timing of selection against gene flow","type":"article-journal","volume":"114"},"uris":["http://www.mendeley.com/documents/?uuid=49ab130a-2db8-4b24-b6ac-84fdddfa37c7"]}],"mendeley":{"formattedCitation":"(Aeschbacher et al. 2017; Bolnick &amp; Nosil 2007; Kremer et al. 2012)","plainTextFormattedCitation":"(Aeschbacher et al. 2017; Bolnick &amp; Nosil 2007; Kremer et al. 2012)","previouslyFormattedCitation":"(Aeschbacher et al. 2017; Bolnick &amp; Nosil 2007; Kremer et al. 2012)"},"properties":{"noteIndex":0},"schema":"https://github.com/citation-style-language/schema/raw/master/csl-citation.json"}</w:instrText>
      </w:r>
      <w:r w:rsidRPr="00BD14BD">
        <w:rPr>
          <w:lang w:val="en-CA"/>
        </w:rPr>
        <w:fldChar w:fldCharType="separate"/>
      </w:r>
      <w:r w:rsidRPr="00943C1E">
        <w:rPr>
          <w:noProof/>
          <w:lang w:val="en-CA"/>
        </w:rPr>
        <w:t>(Aeschbacher et al. 2017; Bolnick &amp; Nosil 2007; Kremer et al. 2012)</w:t>
      </w:r>
      <w:r w:rsidRPr="00BD14BD">
        <w:rPr>
          <w:lang w:val="en-CA"/>
        </w:rPr>
        <w:fldChar w:fldCharType="end"/>
      </w:r>
      <w:r w:rsidRPr="00BD14BD">
        <w:rPr>
          <w:lang w:val="en-CA"/>
        </w:rPr>
        <w:t>, relating temporal genetic variation to landscape change can provide important insights about the eco-evolutionary dynamics of a species</w:t>
      </w:r>
      <w:r>
        <w:rPr>
          <w:lang w:val="en-CA"/>
        </w:rPr>
        <w:t>,</w:t>
      </w:r>
      <w:r w:rsidRPr="00BD14BD">
        <w:rPr>
          <w:lang w:val="en-CA"/>
        </w:rPr>
        <w:t xml:space="preserve"> and be used to inform conservation strategies </w:t>
      </w:r>
      <w:r w:rsidRPr="00BD14BD">
        <w:rPr>
          <w:lang w:val="en-CA"/>
        </w:rPr>
        <w:fldChar w:fldCharType="begin" w:fldLock="1"/>
      </w:r>
      <w:r>
        <w:rPr>
          <w:lang w:val="en-CA"/>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Genetics","id":"ITEM-1","issued":{"date-parts":[["2017"]]},"page":"9","title":"Using landscape genetics simulations for planting blister rust resistant whitebark pine in the US Northern Rocky Mountains","type":"article-journal","volume":"8"},"uris":["http://www.mendeley.com/documents/?uuid=278a9795-021c-4ae0-9851-8bded50cff67"]}],"mendeley":{"formattedCitation":"(Landguth et al. 2017b)","manualFormatting":"(e.g., Landguth et al. 2017b)","plainTextFormattedCitation":"(Landguth et al. 2017b)","previouslyFormattedCitation":"(Landguth et al. 2017b)"},"properties":{"noteIndex":0},"schema":"https://github.com/citation-style-language/schema/raw/master/csl-citation.json"}</w:instrText>
      </w:r>
      <w:r w:rsidRPr="00BD14BD">
        <w:rPr>
          <w:lang w:val="en-CA"/>
        </w:rPr>
        <w:fldChar w:fldCharType="separate"/>
      </w:r>
      <w:r w:rsidRPr="00032875">
        <w:rPr>
          <w:noProof/>
          <w:lang w:val="en-CA"/>
        </w:rPr>
        <w:t>(</w:t>
      </w:r>
      <w:r>
        <w:rPr>
          <w:noProof/>
          <w:lang w:val="en-CA"/>
        </w:rPr>
        <w:t xml:space="preserve">e.g., </w:t>
      </w:r>
      <w:r w:rsidRPr="00032875">
        <w:rPr>
          <w:noProof/>
          <w:lang w:val="en-CA"/>
        </w:rPr>
        <w:t>Landguth et al. 2017b)</w:t>
      </w:r>
      <w:r w:rsidRPr="00BD14BD">
        <w:rPr>
          <w:lang w:val="en-CA"/>
        </w:rPr>
        <w:fldChar w:fldCharType="end"/>
      </w:r>
      <w:r w:rsidRPr="00BD14BD">
        <w:rPr>
          <w:lang w:val="en-CA"/>
        </w:rPr>
        <w:t xml:space="preserve">. </w:t>
      </w:r>
    </w:p>
    <w:p w14:paraId="6742044F" w14:textId="77777777" w:rsidR="008D3B5A" w:rsidRPr="00BD14BD" w:rsidRDefault="008D3B5A" w:rsidP="004775A3">
      <w:pPr>
        <w:spacing w:line="480" w:lineRule="auto"/>
        <w:rPr>
          <w:lang w:val="en-CA"/>
        </w:rPr>
      </w:pPr>
      <w:r w:rsidRPr="00BD14BD">
        <w:rPr>
          <w:lang w:val="en-CA"/>
        </w:rPr>
        <w:t xml:space="preserve">There are currently two general approaches for investigating temporal genetic variation. The first suite of approaches uses statistical models to infer demographic history from genetic data obtained at a single time point </w:t>
      </w:r>
      <w:r w:rsidRPr="00BD14BD">
        <w:rPr>
          <w:lang w:val="en-CA"/>
        </w:rPr>
        <w:fldChar w:fldCharType="begin" w:fldLock="1"/>
      </w:r>
      <w:r w:rsidRPr="00BD14BD">
        <w:rPr>
          <w:lang w:val="en-CA"/>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Genetics","id":"ITEM-1","issue":"10","issued":{"date-parts":[["2013"]]},"page":"e1003905","title":"Robust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Genetics","id":"ITEM-2","issue":"10","issued":{"date-parts":[["2009"]]},"page":"e1000695","title":"Inferring the joint demographic history of multiple populations from multidimensional SNP frequency data","type":"article-journal","volume":"5"},"uris":["http://www.mendeley.com/documents/?uuid=c06f5592-1cb2-4a40-9677-0f7b5e875cc8"]},{"id":"ITEM-3","itemData":{"DOI":"10.1080/01621459.2019.1635482","ISSN":"1537274X","abstract":"The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Association","id":"ITEM-3","issue":"531","issued":{"date-parts":[["2020"]]},"page":"1472-1487","publisher":"Taylor &amp; Francis","title":"Efficiently Inferring the Demographic History of Many Populations With Allele Count Data","type":"article-journal","volume":"115"},"uris":["http://www.mendeley.com/documents/?uuid=07aab9e9-f03f-44ba-993c-38aec92b385a"]}],"mendeley":{"formattedCitation":"(Excoffier et al. 2013; Gutenkunst et al. 2009; Kamm et al. 2020)","plainTextFormattedCitation":"(Excoffier et al. 2013; Gutenkunst et al. 2009; Kamm et al. 2020)","previouslyFormattedCitation":"(Excoffier et al. 2013; Gutenkunst et al. 2009; Kamm et al. 2020)"},"properties":{"noteIndex":0},"schema":"https://github.com/citation-style-language/schema/raw/master/csl-citation.json"}</w:instrText>
      </w:r>
      <w:r w:rsidRPr="00BD14BD">
        <w:rPr>
          <w:lang w:val="en-CA"/>
        </w:rPr>
        <w:fldChar w:fldCharType="separate"/>
      </w:r>
      <w:r w:rsidRPr="00BD14BD">
        <w:rPr>
          <w:noProof/>
          <w:lang w:val="en-CA"/>
        </w:rPr>
        <w:t>(Excoffier et al. 2013; Gutenkunst et al. 2009; Kamm et al. 2020)</w:t>
      </w:r>
      <w:r w:rsidRPr="00BD14BD">
        <w:rPr>
          <w:lang w:val="en-CA"/>
        </w:rPr>
        <w:fldChar w:fldCharType="end"/>
      </w:r>
      <w:r w:rsidRPr="00BD14BD">
        <w:rPr>
          <w:lang w:val="en-CA"/>
        </w:rPr>
        <w:t xml:space="preserve">. This approach is often computationally intensive, requires high-quality microsatellite or extensive SNP datasets. This approach also requires extensive knowledge of the biological system, including information on recombination processes </w:t>
      </w:r>
      <w:r w:rsidRPr="00BD14BD">
        <w:rPr>
          <w:lang w:val="en-CA"/>
        </w:rPr>
        <w:fldChar w:fldCharType="begin" w:fldLock="1"/>
      </w:r>
      <w:r w:rsidRPr="00BD14BD">
        <w:rPr>
          <w:lang w:val="en-CA"/>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Pr="00BD14BD">
        <w:rPr>
          <w:lang w:val="en-CA"/>
        </w:rPr>
        <w:fldChar w:fldCharType="separate"/>
      </w:r>
      <w:r w:rsidRPr="00BD14BD">
        <w:rPr>
          <w:noProof/>
          <w:lang w:val="en-CA"/>
        </w:rPr>
        <w:t>(Gattepaille et al. 2013)</w:t>
      </w:r>
      <w:r w:rsidRPr="00BD14BD">
        <w:rPr>
          <w:lang w:val="en-CA"/>
        </w:rPr>
        <w:fldChar w:fldCharType="end"/>
      </w:r>
      <w:r w:rsidRPr="00BD14BD">
        <w:rPr>
          <w:lang w:val="en-CA"/>
        </w:rPr>
        <w:t xml:space="preserve"> and ascertainment bias </w:t>
      </w:r>
      <w:r w:rsidRPr="00BD14BD">
        <w:rPr>
          <w:lang w:val="en-CA"/>
        </w:rPr>
        <w:fldChar w:fldCharType="begin" w:fldLock="1"/>
      </w:r>
      <w:r w:rsidRPr="00BD14BD">
        <w:rPr>
          <w:lang w:val="en-CA"/>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et al. 2010; Clark et al. 2005; Marth et al. 2004)","plainTextFormattedCitation":"(Albrechtsen et al. 2010; Clark et al. 2005; Marth et al. 2004)","previouslyFormattedCitation":"(Albrechtsen et al. 2010; Clark et al. 2005; Marth et al. 2004)"},"properties":{"noteIndex":0},"schema":"https://github.com/citation-style-language/schema/raw/master/csl-citation.json"}</w:instrText>
      </w:r>
      <w:r w:rsidRPr="00BD14BD">
        <w:rPr>
          <w:lang w:val="en-CA"/>
        </w:rPr>
        <w:fldChar w:fldCharType="separate"/>
      </w:r>
      <w:r w:rsidRPr="00BD14BD">
        <w:rPr>
          <w:noProof/>
          <w:lang w:val="en-CA"/>
        </w:rPr>
        <w:t>(Albrechtsen et al. 2010; Clark et al. 2005; Marth et al. 2004)</w:t>
      </w:r>
      <w:r w:rsidRPr="00BD14BD">
        <w:rPr>
          <w:lang w:val="en-CA"/>
        </w:rPr>
        <w:fldChar w:fldCharType="end"/>
      </w:r>
      <w:r w:rsidRPr="00BD14BD">
        <w:rPr>
          <w:lang w:val="en-CA"/>
        </w:rPr>
        <w:t xml:space="preserve">. The second suite of approaches compares genetic diversity between samples taken from the same sites over time using any genetic markers through either qualitative comparison or </w:t>
      </w:r>
      <w:r w:rsidRPr="00BD14BD">
        <w:rPr>
          <w:lang w:val="en-CA"/>
        </w:rPr>
        <w:lastRenderedPageBreak/>
        <w:t>statistical models</w:t>
      </w:r>
      <w:r>
        <w:rPr>
          <w:lang w:val="en-CA"/>
        </w:rPr>
        <w:t>, ideally using a n</w:t>
      </w:r>
      <w:r w:rsidRPr="00AE56D4">
        <w:rPr>
          <w:lang w:val="en-CA"/>
        </w:rPr>
        <w:t>ull reference distribution</w:t>
      </w:r>
      <w:r w:rsidRPr="00BD14BD">
        <w:rPr>
          <w:lang w:val="en-CA"/>
        </w:rPr>
        <w:t xml:space="preserve">. These repeated-survey approaches are more readily usable in systems where less information is available, such as non-model species. Repeated-survey approaches can also be used in systems that were sampled in the past, with a goal of comparing contemporary to historical patterns </w:t>
      </w:r>
      <w:r w:rsidRPr="00BD14BD">
        <w:rPr>
          <w:lang w:val="en-CA"/>
        </w:rPr>
        <w:fldChar w:fldCharType="begin" w:fldLock="1"/>
      </w:r>
      <w:r>
        <w:rPr>
          <w:lang w:val="en-CA"/>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rosalia)","type":"article-journal","volume":"18"},"uris":["http://www.mendeley.com/documents/?uuid=7d71e0a9-3eb2-45a3-aeeb-a97eab5c25bd"]}],"mendeley":{"formattedCitation":"(Moraes et al. 2017)","plainTextFormattedCitation":"(Moraes et al. 2017)","previouslyFormattedCitation":"(Moraes et al. 2017)"},"properties":{"noteIndex":0},"schema":"https://github.com/citation-style-language/schema/raw/master/csl-citation.json"}</w:instrText>
      </w:r>
      <w:r w:rsidRPr="00BD14BD">
        <w:rPr>
          <w:lang w:val="en-CA"/>
        </w:rPr>
        <w:fldChar w:fldCharType="separate"/>
      </w:r>
      <w:r w:rsidRPr="00BD14BD">
        <w:rPr>
          <w:noProof/>
          <w:lang w:val="en-CA"/>
        </w:rPr>
        <w:t>(Moraes et al. 2017)</w:t>
      </w:r>
      <w:r w:rsidRPr="00BD14BD">
        <w:rPr>
          <w:lang w:val="en-CA"/>
        </w:rPr>
        <w:fldChar w:fldCharType="end"/>
      </w:r>
      <w:r w:rsidRPr="00BD14BD">
        <w:rPr>
          <w:lang w:val="en-CA"/>
        </w:rPr>
        <w:t xml:space="preserve">. </w:t>
      </w:r>
    </w:p>
    <w:p w14:paraId="6AAC4967" w14:textId="77777777" w:rsidR="008D3B5A" w:rsidRPr="00BD14BD" w:rsidRDefault="008D3B5A" w:rsidP="004775A3">
      <w:pPr>
        <w:spacing w:line="480" w:lineRule="auto"/>
        <w:rPr>
          <w:lang w:val="en-CA"/>
        </w:rPr>
      </w:pPr>
      <w:r w:rsidRPr="00BD14BD">
        <w:rPr>
          <w:lang w:val="en-CA"/>
        </w:rPr>
        <w:t xml:space="preserve">Despite our ability to compare genetic diversity at two points in time, several technical and conceptual challenges remain. One such challenge is determining which metric to use to meaningfully quantify and detect temporal changes. Some studies have used genetic differentiation metrics such as </w:t>
      </w:r>
      <w:proofErr w:type="spellStart"/>
      <w:r w:rsidRPr="00BD14BD">
        <w:rPr>
          <w:lang w:val="en-CA"/>
        </w:rPr>
        <w:t>Jost’s</w:t>
      </w:r>
      <w:proofErr w:type="spellEnd"/>
      <w:r w:rsidRPr="00BD14BD">
        <w:rPr>
          <w:lang w:val="en-CA"/>
        </w:rPr>
        <w:t xml:space="preserve"> </w:t>
      </w:r>
      <w:r w:rsidRPr="001E0AE6">
        <w:rPr>
          <w:i/>
          <w:iCs/>
          <w:lang w:val="en-CA"/>
        </w:rPr>
        <w:t>D</w:t>
      </w:r>
      <w:r w:rsidRPr="00BD14BD">
        <w:rPr>
          <w:lang w:val="en-CA"/>
        </w:rPr>
        <w:t xml:space="preserve"> or </w:t>
      </w:r>
      <w:r w:rsidRPr="001E0AE6">
        <w:rPr>
          <w:i/>
          <w:iCs/>
          <w:lang w:val="en-CA"/>
        </w:rPr>
        <w:t>F</w:t>
      </w:r>
      <w:r w:rsidRPr="00BD14BD">
        <w:rPr>
          <w:vertAlign w:val="subscript"/>
          <w:lang w:val="en-CA"/>
        </w:rPr>
        <w:t>ST</w:t>
      </w:r>
      <w:r w:rsidRPr="00BD14BD">
        <w:rPr>
          <w:lang w:val="en-CA"/>
        </w:rPr>
        <w:t xml:space="preserve"> or its analogues </w:t>
      </w:r>
      <w:r w:rsidRPr="00BD14BD">
        <w:rPr>
          <w:lang w:val="en-CA"/>
        </w:rPr>
        <w:fldChar w:fldCharType="begin" w:fldLock="1"/>
      </w:r>
      <w:r w:rsidRPr="00BD14BD">
        <w:rPr>
          <w:lang w:val="en-CA"/>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Applications","id":"ITEM-1","issue":"10","issued":{"date-parts":[["2019"]]},"page":"1931-1945","title":"Temporal variation in spatial genetic structure during population outbreaks: Distinguishing among different potential drivers of spatial synchrony","type":"article-journal","volume":"12"},"uris":["http://www.mendeley.com/documents/?uuid=8e6e6a3b-0d15-4092-888d-62f1f0ed6f84"]},{"id":"ITEM-2","itemData":{"DOI":"10.1038/s41598-019-43435-9","ISBN":"4159801943","ISSN":"20452322","abstract":"the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modeling","type":"article-journal","volume":"9"},"uris":["http://www.mendeley.com/documents/?uuid=1a71448c-4e3e-4d57-a1ae-0d8e447e4885"]},{"id":"ITEM-3","itemData":{"DOI":"10.1094/PDIS-01-18-0175-RE","ISSN":"01912917","PMID":"30156961","abstract":"Annual epidemics of Cercospora leaf spot (CLS), caused by the fungus Cercospora beticola, can result in substantial defoliation in table beet fields in New York. High allelic and genotypic diversity have been described within C. beticola populations; however, information on the temporal stability of populations is lacking. C. beticola isolates were obtained from symptomatic leaves in three table beet fields in successive years. Two of the fields were organic mixed-cropping farms and the third was managed conventionally in a broad-acre cropping system. C. beticola isolates (n = 304) were genotyped using 12 microsatellite markers. Genotypic diversity (Simpson's complement index = 0.178 to 0.990), allele frequencies, and indices of differentiation between years varied. Pairwise index of differentiation values ranged from 0.02 to 0.25 for clone-corrected data, and indicated significant genetic differentiation at Farm 2. No multilocus genotype was shared between years. The shift in multilocus genotypes between years questions the role of clonally reproducing primary inoculum. Collectively, these results suggest that a dominant inoculum source for initiating annual CLS epidemics is external to the field of interest. These findings have implications for CLS disease management in conventional and organic table beet production.","author":[{"dropping-particle":"","family":"Knight","given":"Noel L.","non-dropping-particle":"","parse-names":false,"suffix":""},{"dropping-particle":"","family":"Vaghefi","given":"Niloofar","non-dropping-particle":"","parse-names":false,"suffix":""},{"dropping-particle":"","family":"Hansen","given":"Zachariah R.","non-dropping-particle":"","parse-names":false,"suffix":""},{"dropping-particle":"","family":"Kikkert","given":"Julie R.","non-dropping-particle":"","parse-names":false,"suffix":""},{"dropping-particle":"","family":"Pethybridge","given":"Sarah J.","non-dropping-particle":"","parse-names":false,"suffix":""}],"container-title":"Plant disease","id":"ITEM-3","issue":"11","issued":{"date-parts":[["2018"]]},"page":"2074-2082","title":"Temporal Genetic Differentiation of Cercospora beticola Populations in New York Table Beet Fields","type":"article-journal","volume":"102"},"uris":["http://www.mendeley.com/documents/?uuid=ca1b4241-a6fc-42b8-91c8-1d87580df923"]}],"mendeley":{"formattedCitation":"(Knight et al. 2018; Larroque et al. 2019; Segura-García et al. 2019)","plainTextFormattedCitation":"(Knight et al. 2018; Larroque et al. 2019; Segura-García et al. 2019)","previouslyFormattedCitation":"(Knight et al. 2018; Larroque et al. 2019; Segura-García et al. 2019)"},"properties":{"noteIndex":0},"schema":"https://github.com/citation-style-language/schema/raw/master/csl-citation.json"}</w:instrText>
      </w:r>
      <w:r w:rsidRPr="00BD14BD">
        <w:rPr>
          <w:lang w:val="en-CA"/>
        </w:rPr>
        <w:fldChar w:fldCharType="separate"/>
      </w:r>
      <w:r w:rsidRPr="00BD14BD">
        <w:rPr>
          <w:noProof/>
          <w:lang w:val="en-CA"/>
        </w:rPr>
        <w:t>(Knight et al. 2018; Larroque et al. 2019; Segura-García et al. 2019)</w:t>
      </w:r>
      <w:r w:rsidRPr="00BD14BD">
        <w:rPr>
          <w:lang w:val="en-CA"/>
        </w:rPr>
        <w:fldChar w:fldCharType="end"/>
      </w:r>
      <w:r w:rsidRPr="00BD14BD">
        <w:rPr>
          <w:lang w:val="en-CA"/>
        </w:rPr>
        <w:t xml:space="preserve"> to evaluate temporal changes between genetic datasets. However, translating our spatial understanding of these genetic differentiation indices to the temporal dimension is not straightforward </w:t>
      </w:r>
      <w:r w:rsidRPr="00BD14BD">
        <w:rPr>
          <w:lang w:val="en-CA"/>
        </w:rPr>
        <w:fldChar w:fldCharType="begin" w:fldLock="1"/>
      </w:r>
      <w:r w:rsidRPr="00BD14BD">
        <w:rPr>
          <w:lang w:val="en-CA"/>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et al. 2013)","plainTextFormattedCitation":"(Bhatia et al. 2013)","previouslyFormattedCitation":"(Bhatia et al. 2013)"},"properties":{"noteIndex":0},"schema":"https://github.com/citation-style-language/schema/raw/master/csl-citation.json"}</w:instrText>
      </w:r>
      <w:r w:rsidRPr="00BD14BD">
        <w:rPr>
          <w:lang w:val="en-CA"/>
        </w:rPr>
        <w:fldChar w:fldCharType="separate"/>
      </w:r>
      <w:r w:rsidRPr="00BD14BD">
        <w:rPr>
          <w:noProof/>
          <w:lang w:val="en-CA"/>
        </w:rPr>
        <w:t>(Bhatia et al. 2013)</w:t>
      </w:r>
      <w:r w:rsidRPr="00BD14BD">
        <w:rPr>
          <w:lang w:val="en-CA"/>
        </w:rPr>
        <w:fldChar w:fldCharType="end"/>
      </w:r>
      <w:r w:rsidRPr="00BD14BD">
        <w:rPr>
          <w:lang w:val="en-CA"/>
        </w:rPr>
        <w:t xml:space="preserve">. An additional challenge for temporal genetic analyses is disentangling spatial from temporal effects, because the additivity of genetic drift means that genetic differentiation can be associated with both space and time </w:t>
      </w:r>
      <w:r w:rsidRPr="00BD14BD">
        <w:rPr>
          <w:lang w:val="en-CA"/>
        </w:rPr>
        <w:fldChar w:fldCharType="begin" w:fldLock="1"/>
      </w:r>
      <w:r w:rsidRPr="00BD14BD">
        <w:rPr>
          <w:lang w:val="en-CA"/>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et al. 2014)","plainTextFormattedCitation":"(Murray et al. 2016; Skoglund et al. 2014)","previouslyFormattedCitation":"(Murray et al. 2016; Skoglund et al. 2014)"},"properties":{"noteIndex":0},"schema":"https://github.com/citation-style-language/schema/raw/master/csl-citation.json"}</w:instrText>
      </w:r>
      <w:r w:rsidRPr="00BD14BD">
        <w:rPr>
          <w:lang w:val="en-CA"/>
        </w:rPr>
        <w:fldChar w:fldCharType="separate"/>
      </w:r>
      <w:r w:rsidRPr="00BD14BD">
        <w:rPr>
          <w:noProof/>
          <w:lang w:val="en-CA"/>
        </w:rPr>
        <w:t>(Murray et al. 2016; Skoglund et al. 2014)</w:t>
      </w:r>
      <w:r w:rsidRPr="00BD14BD">
        <w:rPr>
          <w:lang w:val="en-CA"/>
        </w:rPr>
        <w:fldChar w:fldCharType="end"/>
      </w:r>
      <w:r w:rsidRPr="00BD14BD">
        <w:rPr>
          <w:lang w:val="en-CA"/>
        </w:rPr>
        <w:t>. Finally, repeated-survey analyses remain challenging because we lack sufficiently developed tools to distinguish natural temporal variation in genetic structure due</w:t>
      </w:r>
      <w:r>
        <w:rPr>
          <w:lang w:val="en-CA"/>
        </w:rPr>
        <w:t xml:space="preserve"> to</w:t>
      </w:r>
      <w:r w:rsidRPr="00BD14BD">
        <w:rPr>
          <w:lang w:val="en-CA"/>
        </w:rPr>
        <w:t xml:space="preserve"> </w:t>
      </w:r>
      <w:proofErr w:type="gramStart"/>
      <w:r w:rsidRPr="00BD14BD">
        <w:rPr>
          <w:lang w:val="en-CA"/>
        </w:rPr>
        <w:t>demographically-induced</w:t>
      </w:r>
      <w:proofErr w:type="gramEnd"/>
      <w:r w:rsidRPr="00BD14BD">
        <w:rPr>
          <w:lang w:val="en-CA"/>
        </w:rPr>
        <w:t xml:space="preserve"> drift</w:t>
      </w:r>
      <w:r>
        <w:rPr>
          <w:lang w:val="en-CA"/>
        </w:rPr>
        <w:t>, local gene flow,</w:t>
      </w:r>
      <w:r w:rsidRPr="00BD14BD">
        <w:rPr>
          <w:lang w:val="en-CA"/>
        </w:rPr>
        <w:t xml:space="preserve"> and mutation</w:t>
      </w:r>
      <w:r>
        <w:rPr>
          <w:lang w:val="en-CA"/>
        </w:rPr>
        <w:t>,</w:t>
      </w:r>
      <w:r w:rsidRPr="00BD14BD">
        <w:rPr>
          <w:lang w:val="en-CA"/>
        </w:rPr>
        <w:t xml:space="preserve"> from the changes caused by external forces</w:t>
      </w:r>
      <w:r>
        <w:rPr>
          <w:lang w:val="en-CA"/>
        </w:rPr>
        <w:t>. In other words, we need to develop an adequate distribution of reference patterns of genetic variation based on common background processes prior to deciding whether a change is meaningful.</w:t>
      </w:r>
    </w:p>
    <w:p w14:paraId="6E88D42C" w14:textId="77777777" w:rsidR="008D3B5A" w:rsidRPr="00BD14BD" w:rsidRDefault="008D3B5A" w:rsidP="004775A3">
      <w:pPr>
        <w:spacing w:line="480" w:lineRule="auto"/>
        <w:rPr>
          <w:lang w:val="en-CA"/>
        </w:rPr>
      </w:pPr>
      <w:r w:rsidRPr="00BD14BD">
        <w:rPr>
          <w:lang w:val="en-CA"/>
        </w:rPr>
        <w:t xml:space="preserve">Although its objectives differ from those of population genetics, the field of community ecology has a history of explicitly examining change in community composition through time. Temporal beta-diversity indices (TBI; Legendre 2019) are used to quantify and assess </w:t>
      </w:r>
      <w:r w:rsidRPr="00BD14BD">
        <w:rPr>
          <w:lang w:val="en-CA"/>
        </w:rPr>
        <w:lastRenderedPageBreak/>
        <w:t xml:space="preserve">temporal changes in ecological community composition using a dissimilarity index calculated between samples taken at different times and at several sites. The significance of these dissimilarities is then tested using a permutational procedure. The TBI approach has effectively demonstrated temporal variation in simulated community composition </w:t>
      </w:r>
      <w:r w:rsidRPr="00BD14BD">
        <w:rPr>
          <w:lang w:val="en-CA"/>
        </w:rPr>
        <w:fldChar w:fldCharType="begin" w:fldLock="1"/>
      </w:r>
      <w:r w:rsidRPr="00BD14BD">
        <w:rPr>
          <w:lang w:val="en-CA"/>
        </w:rPr>
        <w:instrText>ADDIN CSL_CITATION {"citationItems":[{"id":"ITEM-1","itemData":{"DOI":"10.1002/ece3.4984","ISSN":"20457758","abstract":"Aim: This paper presents the statistical bases for temporal beta-diversity analysis, a method to study changes in community composition through time from repeated surveys at several sites. Surveys of that type are presently done by ecologists around the world. A temporal beta-diversity Index (TBI) is computed for each site, measuring the change in species composition between the first (T1) and second surveys (T2). TBI indices can be decomposed into losses and gains; they can also be tested for significance, allowing one to identify the sites that have changed in composition in exceptional ways. This method will be of value to identify exceptional sites in space–time surveys carried out to study anthropogenic impacts, including climate change. Innovation: The null hypothesis of the TBI test is that a species assemblage is not exceptionally different between T1 and T2, compared to assemblages that could have been observed at this site at T1 and T2 under conditions corresponding to H 0 . Tests of significance of coefficients in a dissimilarity matrix are usually not possible because the values in the matrix are interrelated. Here, however, the dissimilarity between T1 and T2 for a site is computed with different data from the dissimilarities used for the T1–T2 comparison at other sites. It is thus possible to compute a valid test of significance in that case. In addition, the paper shows how TBI dissimilarities can be decomposed into loss and gain components (of species, or abundances-per-species) and how a B–C plot can be produced from these components, which informs users about the processes of biodiversity losses and gains through time in space–time survey data. Main conclusion: Three applications of the method to different ecological communities are presented. This method is applicable worldwide to all types of communities, marine, and terrestrial.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surveys","type":"article-journal","volume":"9"},"uris":["http://www.mendeley.com/documents/?uuid=dd75eef2-6999-4a63-9fac-ee5c428095c8"]}],"mendeley":{"formattedCitation":"(Legendre 2019)","plainTextFormattedCitation":"(Legendre 2019)","previouslyFormattedCitation":"(Legendre 2019)"},"properties":{"noteIndex":0},"schema":"https://github.com/citation-style-language/schema/raw/master/csl-citation.json"}</w:instrText>
      </w:r>
      <w:r w:rsidRPr="00BD14BD">
        <w:rPr>
          <w:lang w:val="en-CA"/>
        </w:rPr>
        <w:fldChar w:fldCharType="separate"/>
      </w:r>
      <w:r w:rsidRPr="00BD14BD">
        <w:rPr>
          <w:noProof/>
          <w:lang w:val="en-CA"/>
        </w:rPr>
        <w:t>(Legendre 2019)</w:t>
      </w:r>
      <w:r w:rsidRPr="00BD14BD">
        <w:rPr>
          <w:lang w:val="en-CA"/>
        </w:rPr>
        <w:fldChar w:fldCharType="end"/>
      </w:r>
      <w:r>
        <w:rPr>
          <w:lang w:val="en-CA"/>
        </w:rPr>
        <w:t xml:space="preserve"> and in dozens of empirical datasets</w:t>
      </w:r>
      <w:r w:rsidRPr="00BD14BD">
        <w:rPr>
          <w:lang w:val="en-CA"/>
        </w:rPr>
        <w:t>, but the potential of a TBI-inspired tool to detect meaningful temporal changes in genetic diversity has not yet been examined. Given the conceptual similarity in data structure between species diversity in multi-species community composition data</w:t>
      </w:r>
      <w:r>
        <w:rPr>
          <w:lang w:val="en-CA"/>
        </w:rPr>
        <w:t>,</w:t>
      </w:r>
      <w:r w:rsidRPr="00BD14BD">
        <w:rPr>
          <w:lang w:val="en-CA"/>
        </w:rPr>
        <w:t xml:space="preserve"> and genetic diversity in </w:t>
      </w:r>
      <w:proofErr w:type="spellStart"/>
      <w:r w:rsidRPr="00BD14BD">
        <w:rPr>
          <w:lang w:val="en-CA"/>
        </w:rPr>
        <w:t>multilocus</w:t>
      </w:r>
      <w:proofErr w:type="spellEnd"/>
      <w:r w:rsidRPr="00BD14BD">
        <w:rPr>
          <w:lang w:val="en-CA"/>
        </w:rPr>
        <w:t xml:space="preserve"> genotype data, we sought to determine how TBI could be modified to identify significant variation in spatiotemporal genotypic data.</w:t>
      </w:r>
    </w:p>
    <w:p w14:paraId="1240A16F" w14:textId="77777777" w:rsidR="008D3B5A" w:rsidRDefault="008D3B5A" w:rsidP="004775A3">
      <w:pPr>
        <w:spacing w:line="480" w:lineRule="auto"/>
        <w:rPr>
          <w:lang w:val="en-CA"/>
        </w:rPr>
      </w:pPr>
      <w:r w:rsidRPr="00BD14BD">
        <w:rPr>
          <w:lang w:val="en-CA"/>
        </w:rPr>
        <w:t>In this paper, we propose and evaluate a method for extending the TBI framework to spatiotemporal population genetic data. Our new framework, which we call temporal genetic diversity indices (TGI), is designed to identify significant temporal variation in spatial genetic diversity using relatively information-poor genetic data while accounting for confounding forces such as drift</w:t>
      </w:r>
      <w:r>
        <w:rPr>
          <w:lang w:val="en-CA"/>
        </w:rPr>
        <w:t>, local gene flow,</w:t>
      </w:r>
      <w:r w:rsidRPr="00BD14BD">
        <w:rPr>
          <w:lang w:val="en-CA"/>
        </w:rPr>
        <w:t xml:space="preserve"> and mutation</w:t>
      </w:r>
      <w:r>
        <w:rPr>
          <w:lang w:val="en-CA"/>
        </w:rPr>
        <w:t xml:space="preserve"> by creating a reference distribution</w:t>
      </w:r>
      <w:r w:rsidRPr="00BD14BD">
        <w:rPr>
          <w:lang w:val="en-CA"/>
        </w:rPr>
        <w:t>. We demonstrate the effectiveness and applicability of the TGI approach using simulated genetic data, where each simulation combined multiple scenarios in which portions of a landscape were affected by a non-selective demographic change</w:t>
      </w:r>
      <w:r w:rsidRPr="00BD14BD">
        <w:rPr>
          <w:rStyle w:val="CommentReference"/>
          <w:szCs w:val="24"/>
          <w:lang w:val="en-CA"/>
        </w:rPr>
        <w:t>.</w:t>
      </w:r>
      <w:r w:rsidRPr="00BD14BD">
        <w:rPr>
          <w:lang w:val="en-CA"/>
        </w:rPr>
        <w:t xml:space="preserve"> </w:t>
      </w:r>
    </w:p>
    <w:p w14:paraId="547DE621" w14:textId="6DFEC1B6" w:rsidR="008D3B5A" w:rsidRDefault="008D3B5A" w:rsidP="004775A3">
      <w:pPr>
        <w:spacing w:line="480" w:lineRule="auto"/>
        <w:rPr>
          <w:lang w:val="en-CA"/>
        </w:rPr>
      </w:pPr>
      <w:r>
        <w:rPr>
          <w:lang w:val="en-CA"/>
        </w:rPr>
        <w:t>Specifically, w</w:t>
      </w:r>
      <w:r w:rsidRPr="00BD14BD">
        <w:rPr>
          <w:lang w:val="en-CA"/>
        </w:rPr>
        <w:t xml:space="preserve">e assess TGI’s capacity to detect significant temporal variation in genetic diversity in three demographic factors: 1) species dispersal ability; 2) the number of populations affected by a demographic event (i.e., spatial extent of the event); and 3) the time between consecutive surveys. We predict that TGI’s ability to detect temporal genetic changes will be lower in populations with higher dispersal capacity because of the homogenizing effect of higher gene flow. We also predict that our ability to detect changes </w:t>
      </w:r>
      <w:r w:rsidRPr="00BD14BD">
        <w:rPr>
          <w:lang w:val="en-CA"/>
        </w:rPr>
        <w:lastRenderedPageBreak/>
        <w:t xml:space="preserve">will decrease as the time between successive sampling events increases. </w:t>
      </w:r>
      <w:r>
        <w:rPr>
          <w:lang w:val="en-CA"/>
        </w:rPr>
        <w:t>Beyond</w:t>
      </w:r>
      <w:r w:rsidRPr="006B2523">
        <w:rPr>
          <w:lang w:val="en-CA"/>
        </w:rPr>
        <w:t xml:space="preserve"> </w:t>
      </w:r>
      <w:r>
        <w:rPr>
          <w:lang w:val="en-CA"/>
        </w:rPr>
        <w:t xml:space="preserve">the </w:t>
      </w:r>
      <w:r w:rsidRPr="006B2523">
        <w:rPr>
          <w:lang w:val="en-CA"/>
        </w:rPr>
        <w:t>method to simulate the null distribution</w:t>
      </w:r>
      <w:r>
        <w:rPr>
          <w:lang w:val="en-CA"/>
        </w:rPr>
        <w:t xml:space="preserve">, </w:t>
      </w:r>
      <w:r w:rsidRPr="006B2523">
        <w:rPr>
          <w:lang w:val="en-CA"/>
        </w:rPr>
        <w:t xml:space="preserve">the selection </w:t>
      </w:r>
      <w:r>
        <w:rPr>
          <w:lang w:val="en-CA"/>
        </w:rPr>
        <w:t>o</w:t>
      </w:r>
      <w:r w:rsidRPr="006B2523">
        <w:rPr>
          <w:lang w:val="en-CA"/>
        </w:rPr>
        <w:t>f the cut-off</w:t>
      </w:r>
      <w:r>
        <w:rPr>
          <w:lang w:val="en-CA"/>
        </w:rPr>
        <w:t xml:space="preserve"> value may also influence the performance of our</w:t>
      </w:r>
      <w:r w:rsidRPr="006B2523">
        <w:rPr>
          <w:lang w:val="en-CA"/>
        </w:rPr>
        <w:t xml:space="preserve"> permutational significance testing. </w:t>
      </w:r>
      <w:r>
        <w:rPr>
          <w:lang w:val="en-CA"/>
        </w:rPr>
        <w:t>Indeed, s</w:t>
      </w:r>
      <w:r w:rsidRPr="00BD14BD">
        <w:rPr>
          <w:lang w:val="en-CA"/>
        </w:rPr>
        <w:t xml:space="preserve">electing a proper significance threshold for the </w:t>
      </w:r>
      <w:r w:rsidRPr="00BD14BD">
        <w:rPr>
          <w:i/>
          <w:iCs/>
          <w:lang w:val="en-CA"/>
        </w:rPr>
        <w:t>p</w:t>
      </w:r>
      <w:r w:rsidRPr="00BD14BD">
        <w:rPr>
          <w:lang w:val="en-CA"/>
        </w:rPr>
        <w:t xml:space="preserve">-value calculated from the TGI test permutations, and therefore defining which changes in genetic diversity are significant or not, is important for balancing selectivity and power. </w:t>
      </w:r>
      <w:r>
        <w:rPr>
          <w:lang w:val="en-CA"/>
        </w:rPr>
        <w:t xml:space="preserve">Therefore, we describe how this potential trade-off occurs along a range of thresholds and discuss its implications. </w:t>
      </w:r>
      <w:r w:rsidRPr="00BD14BD">
        <w:rPr>
          <w:lang w:val="en-CA"/>
        </w:rPr>
        <w:t xml:space="preserve">Finally, we illustrate how TGI provides a functional testing framework by applying it to a real genetic dataset representing a large landscape with </w:t>
      </w:r>
      <w:r>
        <w:rPr>
          <w:lang w:val="en-CA"/>
        </w:rPr>
        <w:t>many</w:t>
      </w:r>
      <w:r w:rsidRPr="00BD14BD">
        <w:rPr>
          <w:lang w:val="en-CA"/>
        </w:rPr>
        <w:t xml:space="preserve"> populations of the Northern tidewater goby, a threatened species of fish found in western North America. A better understanding of the factors that influence changes in genetic diversity through time and improved techniques to monitor these changes is essential to describe and understand global biodiversity losses in the context of the current sixth mass extinction.</w:t>
      </w:r>
      <w:r>
        <w:rPr>
          <w:lang w:val="en-CA"/>
        </w:rPr>
        <w:t xml:space="preserve"> That is why we built a tool</w:t>
      </w:r>
      <w:r w:rsidRPr="00152EE8">
        <w:rPr>
          <w:lang w:val="en-CA"/>
        </w:rPr>
        <w:t xml:space="preserve"> to make meanin</w:t>
      </w:r>
      <w:r>
        <w:rPr>
          <w:lang w:val="en-CA"/>
        </w:rPr>
        <w:t>g</w:t>
      </w:r>
      <w:r w:rsidRPr="00152EE8">
        <w:rPr>
          <w:lang w:val="en-CA"/>
        </w:rPr>
        <w:t xml:space="preserve">ful assessments of the </w:t>
      </w:r>
      <w:r>
        <w:rPr>
          <w:lang w:val="en-CA"/>
        </w:rPr>
        <w:t>significance</w:t>
      </w:r>
      <w:r w:rsidRPr="00152EE8">
        <w:rPr>
          <w:lang w:val="en-CA"/>
        </w:rPr>
        <w:t xml:space="preserve"> of </w:t>
      </w:r>
      <w:r>
        <w:rPr>
          <w:lang w:val="en-CA"/>
        </w:rPr>
        <w:t xml:space="preserve">temporal genetic diversity </w:t>
      </w:r>
      <w:r w:rsidRPr="00152EE8">
        <w:rPr>
          <w:lang w:val="en-CA"/>
        </w:rPr>
        <w:t>changes relative to an informed null model</w:t>
      </w:r>
      <w:r>
        <w:rPr>
          <w:lang w:val="en-CA"/>
        </w:rPr>
        <w:t xml:space="preserve"> based on common background processes.</w:t>
      </w:r>
    </w:p>
    <w:p w14:paraId="2246C801" w14:textId="77777777" w:rsidR="00171DE1" w:rsidRPr="005A604A" w:rsidRDefault="00171DE1" w:rsidP="004775A3">
      <w:pPr>
        <w:spacing w:before="0" w:after="160" w:line="480" w:lineRule="auto"/>
        <w:rPr>
          <w:rFonts w:ascii="TimesNewRomanPS-BoldMT" w:eastAsiaTheme="minorHAnsi" w:hAnsi="TimesNewRomanPS-BoldMT" w:cs="TimesNewRomanPS-BoldMT"/>
          <w:b/>
          <w:sz w:val="44"/>
          <w:szCs w:val="44"/>
          <w:lang w:val="en-GB"/>
        </w:rPr>
      </w:pPr>
      <w:bookmarkStart w:id="3" w:name="_Toc79591391"/>
      <w:bookmarkStart w:id="4" w:name="_Toc81356466"/>
      <w:r w:rsidRPr="005A604A">
        <w:rPr>
          <w:lang w:val="en-GB"/>
        </w:rPr>
        <w:br w:type="page"/>
      </w:r>
    </w:p>
    <w:p w14:paraId="7CF272C6" w14:textId="0C6BE542" w:rsidR="008D3B5A" w:rsidRPr="00BD14BD" w:rsidRDefault="008D3B5A" w:rsidP="004775A3">
      <w:pPr>
        <w:pStyle w:val="Heading3"/>
        <w:spacing w:after="0" w:line="480" w:lineRule="auto"/>
      </w:pPr>
      <w:r w:rsidRPr="00BD14BD">
        <w:lastRenderedPageBreak/>
        <w:t>2. Methods</w:t>
      </w:r>
      <w:bookmarkEnd w:id="3"/>
      <w:bookmarkEnd w:id="4"/>
    </w:p>
    <w:p w14:paraId="7C2A209E" w14:textId="77777777" w:rsidR="008D3B5A" w:rsidRPr="00BD14BD" w:rsidRDefault="008D3B5A" w:rsidP="004775A3">
      <w:pPr>
        <w:pStyle w:val="Heading4"/>
        <w:spacing w:after="0" w:line="480" w:lineRule="auto"/>
        <w:rPr>
          <w:lang w:val="en-CA"/>
        </w:rPr>
      </w:pPr>
      <w:bookmarkStart w:id="5" w:name="_Toc79591392"/>
      <w:bookmarkStart w:id="6" w:name="_Toc81356467"/>
      <w:r w:rsidRPr="00BD14BD">
        <w:rPr>
          <w:lang w:val="en-CA"/>
        </w:rPr>
        <w:t>2.1. Adapting TBI for genetic data</w:t>
      </w:r>
      <w:bookmarkEnd w:id="5"/>
      <w:bookmarkEnd w:id="6"/>
    </w:p>
    <w:p w14:paraId="773255FD" w14:textId="46DB8FF7" w:rsidR="008D3B5A" w:rsidRPr="00BD14BD" w:rsidRDefault="008D3B5A" w:rsidP="004775A3">
      <w:pPr>
        <w:spacing w:line="480" w:lineRule="auto"/>
        <w:rPr>
          <w:lang w:val="en-CA"/>
        </w:rPr>
      </w:pPr>
      <w:r w:rsidRPr="00BD14BD">
        <w:rPr>
          <w:lang w:val="en-CA"/>
        </w:rPr>
        <w:t xml:space="preserve">Temporal beta-diversity indices (TBI) are calculated by computing dissimilarities in species composition between data surveyed at two different times for all sampling sites. TBI give local measures of the change in community composition at each site; significance of these indices is then tested through simultaneous permutations of the two site-by-species input matrices. To extend TBI to TGI, we substituted community dissimilarities with genetic distances calculated from site-level allele frequencies </w:t>
      </w:r>
      <w:proofErr w:type="gramStart"/>
      <w:r w:rsidRPr="00BD14BD">
        <w:rPr>
          <w:lang w:val="en-CA"/>
        </w:rPr>
        <w:t>in order to</w:t>
      </w:r>
      <w:proofErr w:type="gramEnd"/>
      <w:r w:rsidRPr="00BD14BD">
        <w:rPr>
          <w:lang w:val="en-CA"/>
        </w:rPr>
        <w:t xml:space="preserve"> compare two different temporal surveys (see </w:t>
      </w:r>
      <w:r>
        <w:rPr>
          <w:lang w:val="en-CA"/>
        </w:rPr>
        <w:fldChar w:fldCharType="begin"/>
      </w:r>
      <w:r>
        <w:rPr>
          <w:lang w:val="en-CA"/>
        </w:rPr>
        <w:instrText xml:space="preserve"> REF _Ref81344626 \h </w:instrText>
      </w:r>
      <w:r>
        <w:rPr>
          <w:lang w:val="en-CA"/>
        </w:rPr>
      </w:r>
      <w:r>
        <w:rPr>
          <w:lang w:val="en-CA"/>
        </w:rPr>
        <w:fldChar w:fldCharType="separate"/>
      </w:r>
      <w:r w:rsidRPr="00922099">
        <w:rPr>
          <w:b/>
          <w:bCs w:val="0"/>
          <w:lang w:val="en-GB"/>
        </w:rPr>
        <w:t xml:space="preserve">Table </w:t>
      </w:r>
      <w:r>
        <w:rPr>
          <w:b/>
          <w:bCs w:val="0"/>
          <w:noProof/>
          <w:lang w:val="en-GB"/>
        </w:rPr>
        <w:t>1</w:t>
      </w:r>
      <w:r>
        <w:rPr>
          <w:lang w:val="en-CA"/>
        </w:rPr>
        <w:fldChar w:fldCharType="end"/>
      </w:r>
      <w:r>
        <w:rPr>
          <w:lang w:val="en-CA"/>
        </w:rPr>
        <w:t>-</w:t>
      </w:r>
      <w:r w:rsidRPr="00BD14BD">
        <w:rPr>
          <w:lang w:val="en-CA"/>
        </w:rPr>
        <w:t>A</w:t>
      </w:r>
      <w:r>
        <w:rPr>
          <w:lang w:val="en-CA"/>
        </w:rPr>
        <w:t>)</w:t>
      </w:r>
      <w:r w:rsidRPr="00BD14BD">
        <w:rPr>
          <w:lang w:val="en-CA"/>
        </w:rPr>
        <w:t xml:space="preserve"> for a simple example showing how we transformed two temporal surveys into a genetic distance, for a two-site landscape). The null hypothesis in this case is that genetic composition between the two time points does not differ more than would be expected due to background processes typical to the landscape.</w:t>
      </w:r>
    </w:p>
    <w:p w14:paraId="6119D035" w14:textId="61FBE4A6" w:rsidR="00171DE1" w:rsidRDefault="008D3B5A" w:rsidP="004775A3">
      <w:pPr>
        <w:spacing w:line="480" w:lineRule="auto"/>
        <w:rPr>
          <w:lang w:val="en-CA"/>
        </w:rPr>
      </w:pPr>
      <w:r w:rsidRPr="00BD14BD">
        <w:rPr>
          <w:lang w:val="en-CA"/>
        </w:rPr>
        <w:t>Neutral spatial processes such as genetic drift can produce temporal variation in spatial genetic structure. In designing TGI, our goal was to determine how to identify temporal changes that are significantly different from what would be expected under a scenario with drift, local gene flow, and mutation. Because there are no reference criteria for the changes in genetic diversity that would constitute a significant temporal genetic change, we used a permutation-based approach to generate a distribution of genetic distances to which an observed genetic distance can be compared.</w:t>
      </w:r>
    </w:p>
    <w:p w14:paraId="177F9531" w14:textId="77777777" w:rsidR="00171DE1" w:rsidRDefault="00171DE1">
      <w:pPr>
        <w:spacing w:before="0" w:after="160" w:line="259" w:lineRule="auto"/>
        <w:rPr>
          <w:lang w:val="en-CA"/>
        </w:rPr>
      </w:pPr>
      <w:r>
        <w:rPr>
          <w:lang w:val="en-CA"/>
        </w:rPr>
        <w:br w:type="page"/>
      </w:r>
    </w:p>
    <w:p w14:paraId="5F94BC4A" w14:textId="77777777" w:rsidR="00171DE1" w:rsidRPr="00171DE1" w:rsidRDefault="00171DE1" w:rsidP="00171DE1">
      <w:pPr>
        <w:rPr>
          <w:lang w:val="en-CA"/>
        </w:rPr>
      </w:pPr>
    </w:p>
    <w:p w14:paraId="244CFDBE" w14:textId="50FD0E84" w:rsidR="008D3B5A" w:rsidRPr="00BD14BD" w:rsidRDefault="008D3B5A" w:rsidP="004775A3">
      <w:pPr>
        <w:spacing w:line="480" w:lineRule="auto"/>
        <w:rPr>
          <w:lang w:val="en-CA"/>
        </w:rPr>
      </w:pPr>
      <w:r w:rsidRPr="00BD14BD">
        <w:rPr>
          <w:lang w:val="en-CA"/>
        </w:rPr>
        <w:t xml:space="preserve">This randomly generated distribution of genetic distances allows us to approximate </w:t>
      </w:r>
      <w:proofErr w:type="gramStart"/>
      <w:r w:rsidRPr="00BD14BD">
        <w:rPr>
          <w:lang w:val="en-CA"/>
        </w:rPr>
        <w:t>a large number of</w:t>
      </w:r>
      <w:proofErr w:type="gramEnd"/>
      <w:r w:rsidRPr="00BD14BD">
        <w:rPr>
          <w:lang w:val="en-CA"/>
        </w:rPr>
        <w:t xml:space="preserve"> landscapes subject only to drift</w:t>
      </w:r>
      <w:r>
        <w:rPr>
          <w:lang w:val="en-CA"/>
        </w:rPr>
        <w:t>, local gene flow,</w:t>
      </w:r>
      <w:r w:rsidRPr="00BD14BD">
        <w:rPr>
          <w:lang w:val="en-CA"/>
        </w:rPr>
        <w:t xml:space="preserve"> and mutation. For each of the two input genotypic matrices representing the two temporally distinct surveys containing data about the same alleles, </w:t>
      </w:r>
      <w:proofErr w:type="gramStart"/>
      <w:r w:rsidRPr="00BD14BD">
        <w:rPr>
          <w:lang w:val="en-CA"/>
        </w:rPr>
        <w:t>loci</w:t>
      </w:r>
      <w:proofErr w:type="gramEnd"/>
      <w:r w:rsidRPr="00BD14BD">
        <w:rPr>
          <w:lang w:val="en-CA"/>
        </w:rPr>
        <w:t xml:space="preserve"> and sites, we permuted the allele counts at each locus (</w:t>
      </w:r>
      <w:r>
        <w:rPr>
          <w:lang w:val="en-CA"/>
        </w:rPr>
        <w:fldChar w:fldCharType="begin"/>
      </w:r>
      <w:r>
        <w:rPr>
          <w:lang w:val="en-CA"/>
        </w:rPr>
        <w:instrText xml:space="preserve"> REF _Ref81344626 \h </w:instrText>
      </w:r>
      <w:r>
        <w:rPr>
          <w:lang w:val="en-CA"/>
        </w:rPr>
      </w:r>
      <w:r>
        <w:rPr>
          <w:lang w:val="en-CA"/>
        </w:rPr>
        <w:fldChar w:fldCharType="separate"/>
      </w:r>
      <w:r w:rsidRPr="00922099">
        <w:rPr>
          <w:b/>
          <w:bCs w:val="0"/>
          <w:lang w:val="en-GB"/>
        </w:rPr>
        <w:t xml:space="preserve">Table </w:t>
      </w:r>
      <w:r>
        <w:rPr>
          <w:b/>
          <w:bCs w:val="0"/>
          <w:noProof/>
          <w:lang w:val="en-GB"/>
        </w:rPr>
        <w:t>1</w:t>
      </w:r>
      <w:r>
        <w:rPr>
          <w:lang w:val="en-CA"/>
        </w:rPr>
        <w:fldChar w:fldCharType="end"/>
      </w:r>
      <w:r>
        <w:rPr>
          <w:lang w:val="en-CA"/>
        </w:rPr>
        <w:t>-</w:t>
      </w:r>
      <w:r w:rsidRPr="00BD14BD">
        <w:rPr>
          <w:lang w:val="en-CA"/>
        </w:rPr>
        <w:t>B).</w:t>
      </w:r>
      <w:r>
        <w:rPr>
          <w:lang w:val="en-CA"/>
        </w:rPr>
        <w:t xml:space="preserve"> </w:t>
      </w:r>
      <w:r w:rsidRPr="00BD14BD">
        <w:rPr>
          <w:lang w:val="en-CA"/>
        </w:rPr>
        <w:t xml:space="preserve">Permutations were performed using the </w:t>
      </w:r>
      <w:proofErr w:type="spellStart"/>
      <w:r w:rsidRPr="00BD14BD">
        <w:rPr>
          <w:i/>
          <w:lang w:val="en-CA"/>
        </w:rPr>
        <w:t>poppr</w:t>
      </w:r>
      <w:proofErr w:type="spellEnd"/>
      <w:r w:rsidRPr="00BD14BD">
        <w:rPr>
          <w:lang w:val="en-CA"/>
        </w:rPr>
        <w:t xml:space="preserve"> R package (see </w:t>
      </w:r>
      <w:r w:rsidRPr="00BD14BD">
        <w:rPr>
          <w:i/>
          <w:lang w:val="en-CA"/>
        </w:rPr>
        <w:t>Software</w:t>
      </w:r>
      <w:r w:rsidRPr="00BD14BD">
        <w:rPr>
          <w:lang w:val="en-CA"/>
        </w:rPr>
        <w:t xml:space="preserve">) to maintain allelic structure and heterozygosity </w:t>
      </w:r>
      <w:r w:rsidRPr="00BD14BD">
        <w:rPr>
          <w:lang w:val="en-CA"/>
        </w:rPr>
        <w:fldChar w:fldCharType="begin" w:fldLock="1"/>
      </w:r>
      <w:r w:rsidRPr="00BD14BD">
        <w:rPr>
          <w:lang w:val="en-CA"/>
        </w:rPr>
        <w:instrText>ADDIN CSL_CITATION {"citationItems":[{"id":"ITEM-1","itemData":{"DOI":"10.1046/j.1471-8278.2000.00014.x","ISSN":"14718278","abstract":"Linkage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package.","author":[{"dropping-particle":"","family":"Agapow","given":"Paul Michael","non-dropping-particle":"","parse-names":false,"suffix":""},{"dropping-particle":"","family":"Burt","given":"Austin","non-dropping-particle":"","parse-names":false,"suffix":""}],"container-title":"Molecular Ecology Notes","id":"ITEM-1","issue":"1-2","issued":{"date-parts":[["2001"]]},"page":"101-102","title":"Indices of multilocus linkage disequilibrium","type":"article-journal","volume":"1"},"uris":["http://www.mendeley.com/documents/?uuid=7c529bf8-96c8-4c1a-9db6-c7e336498f76"]}],"mendeley":{"formattedCitation":"(Agapow &amp; Burt 2001)","plainTextFormattedCitation":"(Agapow &amp; Burt 2001)","previouslyFormattedCitation":"(Agapow &amp; Burt 2001)"},"properties":{"noteIndex":0},"schema":"https://github.com/citation-style-language/schema/raw/master/csl-citation.json"}</w:instrText>
      </w:r>
      <w:r w:rsidRPr="00BD14BD">
        <w:rPr>
          <w:lang w:val="en-CA"/>
        </w:rPr>
        <w:fldChar w:fldCharType="separate"/>
      </w:r>
      <w:r w:rsidRPr="00BD14BD">
        <w:rPr>
          <w:noProof/>
          <w:lang w:val="en-CA"/>
        </w:rPr>
        <w:t>(Agapow &amp; Burt 2001)</w:t>
      </w:r>
      <w:r w:rsidRPr="00BD14BD">
        <w:rPr>
          <w:lang w:val="en-CA"/>
        </w:rPr>
        <w:fldChar w:fldCharType="end"/>
      </w:r>
      <w:r w:rsidRPr="00BD14BD">
        <w:rPr>
          <w:lang w:val="en-CA"/>
        </w:rPr>
        <w:t>. We used 999 random permutations in all analyses.</w:t>
      </w:r>
      <w:r>
        <w:rPr>
          <w:lang w:val="en-CA"/>
        </w:rPr>
        <w:t xml:space="preserve"> To be clear, we created an adequate null model for testing purposes by combining realistic simulations of drift, local gene flow, and mutation with a permutation which allowed us to shuffle allele counts between populations, to find out truly remarkable genetic distances. That way, the permutation procedure unlinks the genetic histories of different populations, which is akin to standardizing the recent effects of gene flow and removing the spatial autocorrelation in genetic drift.</w:t>
      </w:r>
    </w:p>
    <w:p w14:paraId="38AF2DA0" w14:textId="77777777" w:rsidR="008D3B5A" w:rsidRPr="00BD14BD" w:rsidRDefault="008D3B5A" w:rsidP="004775A3">
      <w:pPr>
        <w:pStyle w:val="Heading4"/>
        <w:spacing w:line="480" w:lineRule="auto"/>
        <w:rPr>
          <w:lang w:val="en-CA"/>
        </w:rPr>
      </w:pPr>
      <w:bookmarkStart w:id="7" w:name="_Toc79591393"/>
      <w:bookmarkStart w:id="8" w:name="_Toc81356468"/>
      <w:r w:rsidRPr="00BD14BD">
        <w:rPr>
          <w:lang w:val="en-CA"/>
        </w:rPr>
        <w:t>2.2. Genetic distance</w:t>
      </w:r>
      <w:bookmarkEnd w:id="7"/>
      <w:bookmarkEnd w:id="8"/>
    </w:p>
    <w:p w14:paraId="33763788" w14:textId="05EDCE71" w:rsidR="008D3B5A" w:rsidRDefault="008D3B5A" w:rsidP="004775A3">
      <w:pPr>
        <w:spacing w:line="480" w:lineRule="auto"/>
        <w:rPr>
          <w:lang w:val="en-CA"/>
        </w:rPr>
      </w:pPr>
      <w:r w:rsidRPr="00BD14BD">
        <w:rPr>
          <w:lang w:val="en-CA"/>
        </w:rPr>
        <w:t xml:space="preserve">Genetic distances between time points for a given location were calculated using Rogers’ genetic distance </w:t>
      </w:r>
      <w:r w:rsidRPr="00BD14BD">
        <w:rPr>
          <w:lang w:val="en-CA"/>
        </w:rPr>
        <w:fldChar w:fldCharType="begin" w:fldLock="1"/>
      </w:r>
      <w:r w:rsidRPr="00BD14BD">
        <w:rPr>
          <w:lang w:val="en-CA"/>
        </w:rPr>
        <w:instrText>ADDIN CSL_CITATION {"citationItems":[{"id":"ITEM-1","itemData":{"author":[{"dropping-particle":"","family":"Rogers","given":"J.S.","non-dropping-particle":"","parse-names":false,"suffix":""}],"chapter-number":"4","container-title":"Studies in Genetics VII","editor":[{"dropping-particle":"","family":"Wheeler","given":"Marshall R.","non-dropping-particle":"","parse-names":false,"suffix":""}],"id":"ITEM-1","issued":{"date-parts":[["1972"]]},"page":"145-153","publisher":"The University of Texas","publisher-place":"Austin","title":"Measures of genetic similarity and genetic distances","type":"chapter"},"uris":["http://www.mendeley.com/documents/?uuid=e2f47413-304f-48e0-970f-b95fba975af9"]}],"mendeley":{"formattedCitation":"(Rogers 1972)","plainTextFormattedCitation":"(Rogers 1972)","previouslyFormattedCitation":"(Rogers 1972)"},"properties":{"noteIndex":0},"schema":"https://github.com/citation-style-language/schema/raw/master/csl-citation.json"}</w:instrText>
      </w:r>
      <w:r w:rsidRPr="00BD14BD">
        <w:rPr>
          <w:lang w:val="en-CA"/>
        </w:rPr>
        <w:fldChar w:fldCharType="separate"/>
      </w:r>
      <w:r w:rsidRPr="00BD14BD">
        <w:rPr>
          <w:noProof/>
          <w:lang w:val="en-CA"/>
        </w:rPr>
        <w:t>(Rogers 1972)</w:t>
      </w:r>
      <w:r w:rsidRPr="00BD14BD">
        <w:rPr>
          <w:lang w:val="en-CA"/>
        </w:rPr>
        <w:fldChar w:fldCharType="end"/>
      </w:r>
      <w:r w:rsidRPr="00BD14BD">
        <w:rPr>
          <w:lang w:val="en-CA"/>
        </w:rPr>
        <w:t>, which is similar to the Euclidean genetic distance (</w:t>
      </w:r>
      <w:r w:rsidRPr="00100F23">
        <w:rPr>
          <w:lang w:val="en-CA"/>
        </w:rPr>
        <w:fldChar w:fldCharType="begin"/>
      </w:r>
      <w:r w:rsidRPr="00100F23">
        <w:rPr>
          <w:lang w:val="en-CA"/>
        </w:rPr>
        <w:instrText xml:space="preserve"> REF _Ref81344866 \h  \* MERGEFORMAT </w:instrText>
      </w:r>
      <w:r w:rsidRPr="00100F23">
        <w:rPr>
          <w:lang w:val="en-CA"/>
        </w:rPr>
      </w:r>
      <w:r w:rsidRPr="00100F23">
        <w:rPr>
          <w:lang w:val="en-CA"/>
        </w:rPr>
        <w:fldChar w:fldCharType="separate"/>
      </w:r>
      <w:r w:rsidRPr="0061570B">
        <w:rPr>
          <w:b/>
          <w:bCs w:val="0"/>
          <w:szCs w:val="24"/>
          <w:lang w:val="en-GB"/>
        </w:rPr>
        <w:t>Supp. Mat. 1</w:t>
      </w:r>
      <w:r w:rsidRPr="00100F23">
        <w:rPr>
          <w:lang w:val="en-CA"/>
        </w:rPr>
        <w:fldChar w:fldCharType="end"/>
      </w:r>
      <w:r w:rsidRPr="00BD14BD">
        <w:rPr>
          <w:lang w:val="en-CA"/>
        </w:rPr>
        <w:t xml:space="preserve">). Rogers’ distance makes no assumptions about base-pair substitutions or time since separation and is therefore appropriate to study short-term dynamics influenced by environmental forces. One advantage is that Rogers’ distance is </w:t>
      </w:r>
      <w:proofErr w:type="spellStart"/>
      <w:r w:rsidRPr="00BD14BD">
        <w:rPr>
          <w:lang w:val="en-CA"/>
        </w:rPr>
        <w:t>simplifiable</w:t>
      </w:r>
      <w:proofErr w:type="spellEnd"/>
      <w:r w:rsidRPr="00BD14BD">
        <w:rPr>
          <w:lang w:val="en-CA"/>
        </w:rPr>
        <w:t xml:space="preserve"> for biallelic markers and is related to the well-known Euclidean distance (</w:t>
      </w:r>
      <w:r w:rsidRPr="00100F23">
        <w:rPr>
          <w:lang w:val="en-CA"/>
        </w:rPr>
        <w:fldChar w:fldCharType="begin"/>
      </w:r>
      <w:r w:rsidRPr="00100F23">
        <w:rPr>
          <w:lang w:val="en-CA"/>
        </w:rPr>
        <w:instrText xml:space="preserve"> REF _Ref81344866 \h  \* MERGEFORMAT </w:instrText>
      </w:r>
      <w:r w:rsidRPr="00100F23">
        <w:rPr>
          <w:lang w:val="en-CA"/>
        </w:rPr>
      </w:r>
      <w:r w:rsidRPr="00100F23">
        <w:rPr>
          <w:lang w:val="en-CA"/>
        </w:rPr>
        <w:fldChar w:fldCharType="separate"/>
      </w:r>
      <w:r w:rsidRPr="0061570B">
        <w:rPr>
          <w:b/>
          <w:bCs w:val="0"/>
          <w:szCs w:val="24"/>
          <w:lang w:val="en-GB"/>
        </w:rPr>
        <w:t>Supp. Mat. 1</w:t>
      </w:r>
      <w:r w:rsidRPr="00100F23">
        <w:rPr>
          <w:lang w:val="en-CA"/>
        </w:rPr>
        <w:fldChar w:fldCharType="end"/>
      </w:r>
      <w:r>
        <w:rPr>
          <w:lang w:val="en-CA"/>
        </w:rPr>
        <w:t xml:space="preserve">, </w:t>
      </w:r>
      <w:r w:rsidRPr="00100F23">
        <w:rPr>
          <w:lang w:val="en-CA"/>
        </w:rPr>
        <w:fldChar w:fldCharType="begin"/>
      </w:r>
      <w:r w:rsidRPr="00100F23">
        <w:rPr>
          <w:lang w:val="en-CA"/>
        </w:rPr>
        <w:instrText xml:space="preserve"> REF _Ref81345071 \h  \* MERGEFORMAT </w:instrText>
      </w:r>
      <w:r w:rsidRPr="00100F23">
        <w:rPr>
          <w:lang w:val="en-CA"/>
        </w:rPr>
      </w:r>
      <w:r w:rsidRPr="00100F23">
        <w:rPr>
          <w:lang w:val="en-CA"/>
        </w:rPr>
        <w:fldChar w:fldCharType="separate"/>
      </w:r>
      <w:r w:rsidRPr="0061570B">
        <w:rPr>
          <w:b/>
          <w:bCs w:val="0"/>
          <w:szCs w:val="24"/>
          <w:lang w:val="en-GB"/>
        </w:rPr>
        <w:t>Supp. Mat. 2</w:t>
      </w:r>
      <w:r w:rsidRPr="00100F23">
        <w:rPr>
          <w:lang w:val="en-CA"/>
        </w:rPr>
        <w:fldChar w:fldCharType="end"/>
      </w:r>
      <w:r w:rsidRPr="00BD14BD">
        <w:rPr>
          <w:lang w:val="en-CA"/>
        </w:rPr>
        <w:t xml:space="preserve">). Rogers’ distance has been used previously to investigate variation in genetic diversity in several taxa </w:t>
      </w:r>
      <w:r w:rsidRPr="00BD14BD">
        <w:rPr>
          <w:lang w:val="en-CA"/>
        </w:rPr>
        <w:fldChar w:fldCharType="begin" w:fldLock="1"/>
      </w:r>
      <w:r w:rsidRPr="00BD14BD">
        <w:rPr>
          <w:lang w:val="en-CA"/>
        </w:rPr>
        <w:instrText>ADDIN CSL_CITATION {"citationItems":[{"id":"ITEM-1","itemData":{"DOI":"10.1111/jbi.13412","ISSN":"13652699","abstract":"Aim: Allele surfing remains poorly investigated in empirical studies due to a lack of explicit methods to detect it in natural populations. Here, we introduce a spatially explicit, sliding-window method to test hypotheses on how range expansions and geographic barriers impact neutral genetic structure using allele frequency data. We then use this approach to study the Ibero-Moroccan lineage of the European pond turtle, Emys orbicularis occidentalis, which recolonized the Iberian Peninsula from Africa. Location: Iberian Peninsula, Morocco. Methods: We generated a dataset of 453 genotyped individuals from 21 populations from throughout the E. o. occidentalis distribution at seven microsatellite loci. The microsatellite data were used to evaluate spatial patterns of genetic diversity and structure, as well as recent gene flow between populations. Using a spatially explicit, sliding-window approach, linear models and permutation tests, we tested for signals of allele surfing throughout the Iberian populations, including barriers to gene flow that may enhance the effect of founder events typical of range expansions. Finally, we tested for signatures of adaptation on identified surfing alleles using environmental association analysis. Results: Our study identified signatures of allele surfing throughout the range of Iberian populations. We did not find evidence that any of the loci studied are under natural selection. We therefore concluded that allele surfing has had a significant impact on genetic structure observed in E. o. occidentalis. Population isolation and fragmentation, due to habitat loss, further contribute to the present genetic differentiation between populations. Main conclusion: The sliding-window method proposed herein can help to identify alleles that underwent allele surfing at the front of range expansions. This study also highlights the role of genetic drift and geographic barriers in shaping the species’ genetic structure following population range expansions. Finally, we stress the importance of evaluating the existence of allele surfing processes in biogeographic and population genetic studies, relying on allele frequency analysis, for a better interpretation of contemporary patterns of intraspecific genetic structure.","author":[{"dropping-particle":"","family":"Pereira","given":"Paulo","non-dropping-particle":"","parse-names":false,"suffix":""},{"dropping-particle":"","family":"Teixeira","given":"José","non-dropping-particle":"","parse-names":false,"suffix":""},{"dropping-particle":"","family":"Velo-Antón","given":"Guillermo","non-dropping-particle":"","parse-names":false,"suffix":""}],"container-title":"Journal of Biogeography","id":"ITEM-1","issue":"9","issued":{"date-parts":[["2018"]]},"page":"2202-2215","title":"Allele surfing shaped the genetic structure of the European pond turtle via colonization and population expansion across the Iberian Peninsula from Africa","type":"article-journal","volume":"45"},"uris":["http://www.mendeley.com/documents/?uuid=4d91ac08-d57b-424b-8c29-6b17d0d1af48"]},{"id":"ITEM-2","itemData":{"DOI":"10.1002/ece3.5639","ISSN":"20457758","abstract":"The environment has a strong influence on the abundance and distribution of plant pathogenic organisms and plays a major role in plant disease. Climatological factors may also alter the dynamics of the interactions between plant pathogens and their hosts. Nothophaeocryptopus (=Phaeocryptopus) gaeumannii, the causal agent of Swiss needle cast (SNC) of Douglas-fir, is endemic to western North America where it exists as two sympatric, reproductively isolated lineages. The abundance of this fungus and the severity of SNC are strongly influenced by climate. We used statistical and population genetic analyses to examine relationships between environment, pathogen population structure, and SNC severity. Although N. gaeumannii Lineage 2 in western Oregon and Washington was most abundant where SNC symptoms were most severe, we did not detect a significant relationship between Lineage 2 and disease severity. Warmer winter temperatures were inversely correlated with foliage retention (AFR) and positively correlated with the relative abundance of Lineage 2 (PL2). However when distance inland, which was strongly correlated with both AFR and PL2, was included in the model, there was no significant relationship between Lineage 2 and AFR. Spring/early summer dew point temperatures also were positively associated with total N. gaeumannii abundance (colonization index (CI)) and inversely correlated with AFR. Warmer summer mean temperatures were associated with lower CI and higher AFR. Our results suggest that the two lineages have overlapping environmental optima, but slightly different tolerance ranges. Lineage 2 was absent from more inland sites where winters are colder and summers are warm and dry, while Lineage 1 occurred at most sites across an environmental gradient suggesting broader environmental tolerance. These relationships suggest that climate influences the abundance and distribution of this ecologically important plant pathogen and may have played a role in the evolutionary divergence of these two cryptic fungal lineages.","author":[{"dropping-particle":"","family":"Bennett","given":"Patrick I.","non-dropping-particle":"","parse-names":false,"suffix":""},{"dropping-particle":"","family":"Stone","given":"Jeffrey K.","non-dropping-particle":"","parse-names":false,"suffix":""}],"container-title":"Ecology and Evolution","id":"ITEM-2","issue":"19","issued":{"date-parts":[["2019"]]},"page":"11379-11394","title":"Environmental variables associated with Nothophaeocryptopus gaeumannii population structure and Swiss needle cast severity in Western Oregon and Washington","type":"article-journal","volume":"9"},"uris":["http://www.mendeley.com/documents/?uuid=5b84ba76-0c77-4eef-97f7-1da7212b27bc"]}],"mendeley":{"formattedCitation":"(Bennett &amp; Stone 2019; Pereira et al. 2018)","plainTextFormattedCitation":"(Bennett &amp; Stone 2019; Pereira et al. 2018)","previouslyFormattedCitation":"(Bennett &amp; Stone 2019; Pereira et al. 2018)"},"properties":{"noteIndex":0},"schema":"https://github.com/citation-style-language/schema/raw/master/csl-citation.json"}</w:instrText>
      </w:r>
      <w:r w:rsidRPr="00BD14BD">
        <w:rPr>
          <w:lang w:val="en-CA"/>
        </w:rPr>
        <w:fldChar w:fldCharType="separate"/>
      </w:r>
      <w:r w:rsidRPr="00BD14BD">
        <w:rPr>
          <w:noProof/>
          <w:lang w:val="en-CA"/>
        </w:rPr>
        <w:t>(Bennett &amp; Stone 2019; Pereira et al. 2018)</w:t>
      </w:r>
      <w:r w:rsidRPr="00BD14BD">
        <w:rPr>
          <w:lang w:val="en-CA"/>
        </w:rPr>
        <w:fldChar w:fldCharType="end"/>
      </w:r>
      <w:r w:rsidRPr="00BD14BD">
        <w:rPr>
          <w:lang w:val="en-CA"/>
        </w:rPr>
        <w:t xml:space="preserve">. We computed Rogers’ distance </w:t>
      </w:r>
      <w:r w:rsidRPr="00BD14BD">
        <w:rPr>
          <w:lang w:val="en-CA"/>
        </w:rPr>
        <w:lastRenderedPageBreak/>
        <w:t xml:space="preserve">using the </w:t>
      </w:r>
      <w:proofErr w:type="spellStart"/>
      <w:proofErr w:type="gramStart"/>
      <w:r w:rsidRPr="00BD14BD">
        <w:rPr>
          <w:i/>
          <w:lang w:val="en-CA"/>
        </w:rPr>
        <w:t>dist.genpop</w:t>
      </w:r>
      <w:proofErr w:type="spellEnd"/>
      <w:proofErr w:type="gramEnd"/>
      <w:r w:rsidRPr="00BD14BD">
        <w:rPr>
          <w:lang w:val="en-CA"/>
        </w:rPr>
        <w:t xml:space="preserve"> function from the </w:t>
      </w:r>
      <w:proofErr w:type="spellStart"/>
      <w:r w:rsidRPr="00BD14BD">
        <w:rPr>
          <w:i/>
          <w:lang w:val="en-CA"/>
        </w:rPr>
        <w:t>adegenet</w:t>
      </w:r>
      <w:proofErr w:type="spellEnd"/>
      <w:r w:rsidRPr="00BD14BD">
        <w:rPr>
          <w:i/>
          <w:lang w:val="en-CA"/>
        </w:rPr>
        <w:t xml:space="preserve"> </w:t>
      </w:r>
      <w:r w:rsidRPr="00BD14BD">
        <w:rPr>
          <w:lang w:val="en-CA"/>
        </w:rPr>
        <w:t xml:space="preserve">R package (see </w:t>
      </w:r>
      <w:r w:rsidRPr="00BD14BD">
        <w:rPr>
          <w:i/>
          <w:lang w:val="en-CA"/>
        </w:rPr>
        <w:t>Software</w:t>
      </w:r>
      <w:r w:rsidRPr="00BD14BD">
        <w:rPr>
          <w:lang w:val="en-CA"/>
        </w:rPr>
        <w:t xml:space="preserve">). While we chose to illustrate TGI using Rogers’ distance, our approach and functions may also be used with other true distance metrics (e.g., angular distance/Edward’s distance) and measures of differentiation (e.g., </w:t>
      </w:r>
      <w:r w:rsidRPr="00BD14BD">
        <w:rPr>
          <w:i/>
          <w:iCs/>
          <w:lang w:val="en-CA"/>
        </w:rPr>
        <w:t>F</w:t>
      </w:r>
      <w:r w:rsidRPr="001E0AE6">
        <w:rPr>
          <w:vertAlign w:val="subscript"/>
          <w:lang w:val="en-CA"/>
        </w:rPr>
        <w:t>ST</w:t>
      </w:r>
      <w:r w:rsidRPr="00BD14BD">
        <w:rPr>
          <w:lang w:val="en-CA"/>
        </w:rPr>
        <w:t xml:space="preserve">), although testing should ensure their relevance (see </w:t>
      </w:r>
      <w:r w:rsidRPr="00BD14BD">
        <w:rPr>
          <w:i/>
          <w:iCs/>
          <w:lang w:val="en-CA"/>
        </w:rPr>
        <w:t>Discussion</w:t>
      </w:r>
      <w:r w:rsidRPr="00BD14BD">
        <w:rPr>
          <w:lang w:val="en-CA"/>
        </w:rPr>
        <w:t>).</w:t>
      </w:r>
    </w:p>
    <w:p w14:paraId="593D1F2B" w14:textId="77777777" w:rsidR="008D3B5A" w:rsidRPr="00100F23" w:rsidRDefault="008D3B5A" w:rsidP="004775A3">
      <w:pPr>
        <w:spacing w:line="480" w:lineRule="auto"/>
        <w:rPr>
          <w:lang w:val="en-CA"/>
        </w:rPr>
      </w:pPr>
      <w:r>
        <w:rPr>
          <w:lang w:val="en-CA"/>
        </w:rPr>
        <w:br w:type="page"/>
      </w:r>
    </w:p>
    <w:p w14:paraId="18E18865" w14:textId="77777777" w:rsidR="008D3B5A" w:rsidRPr="00BD14BD" w:rsidRDefault="008D3B5A" w:rsidP="004775A3">
      <w:pPr>
        <w:pStyle w:val="Heading4"/>
        <w:spacing w:line="480" w:lineRule="auto"/>
        <w:rPr>
          <w:lang w:val="en-CA"/>
        </w:rPr>
      </w:pPr>
      <w:bookmarkStart w:id="9" w:name="_Toc471728242"/>
      <w:bookmarkStart w:id="10" w:name="_Toc479591296"/>
      <w:bookmarkStart w:id="11" w:name="_Toc79591394"/>
      <w:bookmarkStart w:id="12" w:name="_Toc81356469"/>
      <w:r w:rsidRPr="00BD14BD">
        <w:rPr>
          <w:lang w:val="en-CA"/>
        </w:rPr>
        <w:lastRenderedPageBreak/>
        <w:t>2.3. Simulation framework</w:t>
      </w:r>
      <w:bookmarkEnd w:id="9"/>
      <w:bookmarkEnd w:id="10"/>
      <w:bookmarkEnd w:id="11"/>
      <w:bookmarkEnd w:id="12"/>
    </w:p>
    <w:p w14:paraId="1F3A4104" w14:textId="77777777" w:rsidR="008D3B5A" w:rsidRPr="00BD14BD" w:rsidRDefault="008D3B5A" w:rsidP="004775A3">
      <w:pPr>
        <w:spacing w:line="480" w:lineRule="auto"/>
        <w:rPr>
          <w:lang w:val="en-CA"/>
        </w:rPr>
      </w:pPr>
      <w:r w:rsidRPr="00BD14BD">
        <w:rPr>
          <w:lang w:val="en-CA"/>
        </w:rPr>
        <w:t xml:space="preserve">To simulate population genetic changes through time and test the performance of TGI, we used the spatially-explicit gene flow simulator </w:t>
      </w:r>
      <w:proofErr w:type="spellStart"/>
      <w:r w:rsidRPr="00BD14BD">
        <w:rPr>
          <w:i/>
          <w:lang w:val="en-CA"/>
        </w:rPr>
        <w:t>CDMetaPOP</w:t>
      </w:r>
      <w:proofErr w:type="spellEnd"/>
      <w:r w:rsidRPr="00BD14BD">
        <w:rPr>
          <w:lang w:val="en-CA"/>
        </w:rPr>
        <w:t xml:space="preserve"> </w:t>
      </w:r>
      <w:r w:rsidRPr="00BD14BD">
        <w:rPr>
          <w:lang w:val="en-CA"/>
        </w:rPr>
        <w:fldChar w:fldCharType="begin" w:fldLock="1"/>
      </w:r>
      <w:r>
        <w:rPr>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demogenetics","type":"article-journal","volume":"8"},"uris":["http://www.mendeley.com/documents/?uuid=9e136494-ea58-4e87-8b0b-05976e46a8ac"]}],"mendeley":{"formattedCitation":"(Landguth et al. 2017a)","plainTextFormattedCitation":"(Landguth et al. 2017a)","previouslyFormattedCitation":"(Landguth et al. 2017a)"},"properties":{"noteIndex":0},"schema":"https://github.com/citation-style-language/schema/raw/master/csl-citation.json"}</w:instrText>
      </w:r>
      <w:r w:rsidRPr="00BD14BD">
        <w:rPr>
          <w:lang w:val="en-CA"/>
        </w:rPr>
        <w:fldChar w:fldCharType="separate"/>
      </w:r>
      <w:r w:rsidRPr="00EE7271">
        <w:rPr>
          <w:noProof/>
          <w:lang w:val="en-CA"/>
        </w:rPr>
        <w:t>(Landguth et al. 2017a)</w:t>
      </w:r>
      <w:r w:rsidRPr="00BD14BD">
        <w:rPr>
          <w:lang w:val="en-CA"/>
        </w:rPr>
        <w:fldChar w:fldCharType="end"/>
      </w:r>
      <w:r w:rsidRPr="00BD14BD">
        <w:rPr>
          <w:lang w:val="en-CA"/>
        </w:rPr>
        <w:t xml:space="preserve">. </w:t>
      </w:r>
      <w:proofErr w:type="spellStart"/>
      <w:r w:rsidRPr="00BD14BD">
        <w:rPr>
          <w:i/>
          <w:lang w:val="en-CA"/>
        </w:rPr>
        <w:t>CDMetaPOP</w:t>
      </w:r>
      <w:proofErr w:type="spellEnd"/>
      <w:r w:rsidRPr="00BD14BD">
        <w:rPr>
          <w:lang w:val="en-CA"/>
        </w:rPr>
        <w:t xml:space="preserve"> simulates dispersal and mating of individuals across a landscape and allows the user to define the initial genetic structure, spatial distribution of individuals, dispersal characteristics, and life history traits of the populations. The physical landscape we simulated was a homogeneous, interconnected 5 </w:t>
      </w:r>
      <w:r w:rsidRPr="00BD14BD">
        <w:rPr>
          <w:lang w:val="en-CA"/>
        </w:rPr>
        <w:sym w:font="Symbol" w:char="F0B4"/>
      </w:r>
      <w:r w:rsidRPr="00BD14BD">
        <w:rPr>
          <w:lang w:val="en-CA"/>
        </w:rPr>
        <w:t xml:space="preserve"> 5 square </w:t>
      </w:r>
      <w:proofErr w:type="gramStart"/>
      <w:r w:rsidRPr="00BD14BD">
        <w:rPr>
          <w:lang w:val="en-CA"/>
        </w:rPr>
        <w:t>grid</w:t>
      </w:r>
      <w:proofErr w:type="gramEnd"/>
      <w:r w:rsidRPr="00BD14BD">
        <w:rPr>
          <w:lang w:val="en-CA"/>
        </w:rPr>
        <w:t xml:space="preserve"> with each of the 25 cells representing a population. Each population had a maximum carrying capacity of 50 individuals; the populated landscape therefore contained a maximum of 1,250 (25 × 50) individuals. Distance between populations was set as the Euclidean geographic distance. The genotypic information of </w:t>
      </w:r>
      <w:proofErr w:type="gramStart"/>
      <w:r w:rsidRPr="00BD14BD">
        <w:rPr>
          <w:lang w:val="en-CA"/>
        </w:rPr>
        <w:t>each individual</w:t>
      </w:r>
      <w:proofErr w:type="gramEnd"/>
      <w:r w:rsidRPr="00BD14BD">
        <w:rPr>
          <w:lang w:val="en-CA"/>
        </w:rPr>
        <w:t xml:space="preserve"> consisted of 100 neutral, unlinked, bi-allelic single nucleotide polymorphism (SNP) loci. </w:t>
      </w:r>
      <w:r>
        <w:rPr>
          <w:lang w:val="en-CA"/>
        </w:rPr>
        <w:t xml:space="preserve">We included mutation to increase the realism of our simulations, because mutation is a common source of temporal genetic variation. </w:t>
      </w:r>
      <w:r w:rsidRPr="00BD14BD">
        <w:rPr>
          <w:lang w:val="en-CA"/>
        </w:rPr>
        <w:t>The nuclear mutation rate (per base pair per generation) was set at 10</w:t>
      </w:r>
      <w:r w:rsidRPr="00BD14BD">
        <w:rPr>
          <w:vertAlign w:val="superscript"/>
          <w:lang w:val="en-CA"/>
        </w:rPr>
        <w:t>-8</w:t>
      </w:r>
      <w:r w:rsidRPr="00BD14BD">
        <w:rPr>
          <w:lang w:val="en-CA"/>
        </w:rPr>
        <w:t xml:space="preserve"> </w:t>
      </w:r>
      <w:r w:rsidRPr="00BD14BD">
        <w:rPr>
          <w:lang w:val="en-CA"/>
        </w:rPr>
        <w:fldChar w:fldCharType="begin" w:fldLock="1"/>
      </w:r>
      <w:r w:rsidRPr="00BD14BD">
        <w:rPr>
          <w:lang w:val="en-CA"/>
        </w:rPr>
        <w:instrText>ADDIN CSL_CITATION {"citationItems":[{"id":"ITEM-1","itemData":{"DOI":"10.1093/molbev/msx197","ISSN":"15371719","PMID":"28981721","abstract":"It is commonly assumed that mitochondrial DNA (mtDNA) evolves at a faster rate than nuclear DNA (nuDNA) in animals. This has contributed to the popularity of mtDNA as a molecular marker in evolutionary studies. Analyzing 121 multilocus data sets and four phylogenomic data sets encompassing 4,676 species of animals, we demonstrate that the ratio ofmitochondrial over nuclear mutation rate is highly variable among animal taxa. In nonvertebrates, such as insects and arachnids, the ratio ofmtDNA over nuDNA mutation rate varies between 2 and 6, whereas it is above 20, on average, in vertebrates such as scaled reptiles and birds. Interestingly, this variation is sufficient to explain the previous report of a similar level of mitochondrial polymorphism, on average, between vertebrates and nonvertebrates, which was originally interpreted as reflecting the effect of pervasive positive selection. Our analysis rather indicates that the among-phyla homogeneity in within-species mtDNA diversity is due to a negative correlation between mtDNA per-generation mutation rate and effective population size, irrespective of the action of natural selection. Finally, we explore the variation in the absolute per-year mutation rate of both mtDNA and nuDNA using a reduced data set for which fossil calibration is available, and discuss the potential determinants of mutation rate variation across genomes and taxa. This study has important implications regarding DNA-based identification methods in predicting that mtDNA barcoding should be less reliable in nonvertebrates than in vertebrates.","author":[{"dropping-particle":"","family":"Allio","given":"Remi","non-dropping-particle":"","parse-names":false,"suffix":""},{"dropping-particle":"","family":"Donega","given":"Stefano","non-dropping-particle":"","parse-names":false,"suffix":""},{"dropping-particle":"","family":"Galtier","given":"Nicolas","non-dropping-particle":"","parse-names":false,"suffix":""},{"dropping-particle":"","family":"Nabholz","given":"Benoit","non-dropping-particle":"","parse-names":false,"suffix":""}],"container-title":"Molecular Biology and Evolution","id":"ITEM-1","issue":"11","issued":{"date-parts":[["2017"]]},"page":"2762-2772","title":"Large variation in the ratio of mitochondrial to nuclear mutation rate across animals: Implications for genetic diversity and the use of mitochondrial DNA as a molecular marker","type":"article-journal","volume":"34"},"uris":["http://www.mendeley.com/documents/?uuid=23476454-f5a5-43db-b206-8773c33fbeae"]}],"mendeley":{"formattedCitation":"(Allio et al. 2017)","plainTextFormattedCitation":"(Allio et al. 2017)","previouslyFormattedCitation":"(Allio et al. 2017)"},"properties":{"noteIndex":0},"schema":"https://github.com/citation-style-language/schema/raw/master/csl-citation.json"}</w:instrText>
      </w:r>
      <w:r w:rsidRPr="00BD14BD">
        <w:rPr>
          <w:lang w:val="en-CA"/>
        </w:rPr>
        <w:fldChar w:fldCharType="separate"/>
      </w:r>
      <w:r w:rsidRPr="00BD14BD">
        <w:rPr>
          <w:noProof/>
          <w:lang w:val="en-CA"/>
        </w:rPr>
        <w:t>(Allio et al. 2017)</w:t>
      </w:r>
      <w:r w:rsidRPr="00BD14BD">
        <w:rPr>
          <w:lang w:val="en-CA"/>
        </w:rPr>
        <w:fldChar w:fldCharType="end"/>
      </w:r>
      <w:r w:rsidRPr="00BD14BD">
        <w:rPr>
          <w:lang w:val="en-CA"/>
        </w:rPr>
        <w:t>.</w:t>
      </w:r>
      <w:r>
        <w:rPr>
          <w:lang w:val="en-CA"/>
        </w:rPr>
        <w:t xml:space="preserve"> Although this empirical estimate seems rather low, the total number of simulated loci over the simulation study far exceeds it and we, therefore, expect mutation events in some of our simulations.</w:t>
      </w:r>
    </w:p>
    <w:p w14:paraId="18DD0462" w14:textId="77777777" w:rsidR="008D3B5A" w:rsidRPr="00BD14BD" w:rsidRDefault="008D3B5A" w:rsidP="004775A3">
      <w:pPr>
        <w:spacing w:line="480" w:lineRule="auto"/>
        <w:rPr>
          <w:lang w:val="en-CA"/>
        </w:rPr>
      </w:pPr>
      <w:r w:rsidRPr="00BD14BD">
        <w:rPr>
          <w:lang w:val="en-CA"/>
        </w:rPr>
        <w:t>We investigated the influence of a single demographic event on the spatial</w:t>
      </w:r>
      <w:r>
        <w:rPr>
          <w:lang w:val="en-CA"/>
        </w:rPr>
        <w:t>-temporal</w:t>
      </w:r>
      <w:r w:rsidRPr="00BD14BD">
        <w:rPr>
          <w:lang w:val="en-CA"/>
        </w:rPr>
        <w:t xml:space="preserve"> apportionment of genetic variation. Specifically, we tested the capacity of our TGI approach to detect demographic and genetic changes due to immigration from a</w:t>
      </w:r>
      <w:r>
        <w:rPr>
          <w:lang w:val="en-CA"/>
        </w:rPr>
        <w:t xml:space="preserve">n </w:t>
      </w:r>
      <w:r w:rsidRPr="00BD14BD">
        <w:rPr>
          <w:lang w:val="en-CA"/>
        </w:rPr>
        <w:t xml:space="preserve">isolated population. This isolated population was separate from our 5 </w:t>
      </w:r>
      <w:r w:rsidRPr="00BD14BD">
        <w:rPr>
          <w:lang w:val="en-CA"/>
        </w:rPr>
        <w:sym w:font="Symbol" w:char="F0B4"/>
      </w:r>
      <w:r w:rsidRPr="00BD14BD">
        <w:rPr>
          <w:lang w:val="en-CA"/>
        </w:rPr>
        <w:t xml:space="preserve"> 5 </w:t>
      </w:r>
      <w:proofErr w:type="gramStart"/>
      <w:r w:rsidRPr="00BD14BD">
        <w:rPr>
          <w:lang w:val="en-CA"/>
        </w:rPr>
        <w:t>grid</w:t>
      </w:r>
      <w:proofErr w:type="gramEnd"/>
      <w:r w:rsidRPr="00BD14BD">
        <w:rPr>
          <w:lang w:val="en-CA"/>
        </w:rPr>
        <w:t xml:space="preserve"> (i.e., population #26). This independent source population shared the same attributes as other populations in our simulated landscape</w:t>
      </w:r>
      <w:r>
        <w:rPr>
          <w:lang w:val="en-CA"/>
        </w:rPr>
        <w:t>. D</w:t>
      </w:r>
      <w:r w:rsidRPr="00BD14BD">
        <w:rPr>
          <w:lang w:val="en-CA"/>
        </w:rPr>
        <w:t>uring simulated demographic events</w:t>
      </w:r>
      <w:r>
        <w:rPr>
          <w:lang w:val="en-CA"/>
        </w:rPr>
        <w:t>, individuals from population #26</w:t>
      </w:r>
      <w:r w:rsidRPr="00BD14BD">
        <w:rPr>
          <w:lang w:val="en-CA"/>
        </w:rPr>
        <w:t xml:space="preserve"> w</w:t>
      </w:r>
      <w:r>
        <w:rPr>
          <w:lang w:val="en-CA"/>
        </w:rPr>
        <w:t>ere</w:t>
      </w:r>
      <w:r w:rsidRPr="00BD14BD">
        <w:rPr>
          <w:lang w:val="en-CA"/>
        </w:rPr>
        <w:t xml:space="preserve"> only allowed to disperse into the 5 </w:t>
      </w:r>
      <w:r w:rsidRPr="00BD14BD">
        <w:rPr>
          <w:lang w:val="en-CA"/>
        </w:rPr>
        <w:sym w:font="Symbol" w:char="F0B4"/>
      </w:r>
      <w:r w:rsidRPr="00BD14BD">
        <w:rPr>
          <w:lang w:val="en-CA"/>
        </w:rPr>
        <w:t xml:space="preserve"> 5 simulation </w:t>
      </w:r>
      <w:proofErr w:type="gramStart"/>
      <w:r w:rsidRPr="00BD14BD">
        <w:rPr>
          <w:lang w:val="en-CA"/>
        </w:rPr>
        <w:t>grid</w:t>
      </w:r>
      <w:proofErr w:type="gramEnd"/>
      <w:r w:rsidRPr="00BD14BD">
        <w:rPr>
          <w:lang w:val="en-CA"/>
        </w:rPr>
        <w:t>.</w:t>
      </w:r>
    </w:p>
    <w:p w14:paraId="71FDD37A" w14:textId="5DBC45E7" w:rsidR="008D3B5A" w:rsidRPr="00BD14BD" w:rsidRDefault="008D3B5A" w:rsidP="004775A3">
      <w:pPr>
        <w:spacing w:line="480" w:lineRule="auto"/>
        <w:rPr>
          <w:lang w:val="en-CA"/>
        </w:rPr>
      </w:pPr>
      <w:r w:rsidRPr="00BD14BD">
        <w:rPr>
          <w:lang w:val="en-CA"/>
        </w:rPr>
        <w:lastRenderedPageBreak/>
        <w:t xml:space="preserve">Using </w:t>
      </w:r>
      <w:proofErr w:type="spellStart"/>
      <w:r w:rsidRPr="00BD14BD">
        <w:rPr>
          <w:i/>
          <w:iCs/>
          <w:lang w:val="en-CA"/>
        </w:rPr>
        <w:t>CDMetaPOP</w:t>
      </w:r>
      <w:proofErr w:type="spellEnd"/>
      <w:r w:rsidRPr="00BD14BD">
        <w:rPr>
          <w:lang w:val="en-CA"/>
        </w:rPr>
        <w:t xml:space="preserve">, we examined the influence of dispersal (movement among our 25 populations) and the spatial extent of a demographic event (number of populations that received immigrants from population #26) on the persistence of spatial genetic legacies. Here, persistence of genetic legacies was defined as </w:t>
      </w:r>
      <w:r>
        <w:rPr>
          <w:lang w:val="en-CA"/>
        </w:rPr>
        <w:t xml:space="preserve">our ability to identify them using TGI (see </w:t>
      </w:r>
      <w:r>
        <w:rPr>
          <w:i/>
          <w:iCs/>
          <w:lang w:val="en-CA"/>
        </w:rPr>
        <w:t>Section 2.6</w:t>
      </w:r>
      <w:r>
        <w:rPr>
          <w:lang w:val="en-CA"/>
        </w:rPr>
        <w:t xml:space="preserve">). </w:t>
      </w:r>
      <w:r w:rsidRPr="00BD14BD">
        <w:rPr>
          <w:lang w:val="en-CA"/>
        </w:rPr>
        <w:t>We examined three levels of dispersal capacity (described below) and three different numbers of affected populations (1, 2, or 3) for a total of nine unique scenarios (</w:t>
      </w:r>
      <w:r w:rsidRPr="00100F23">
        <w:rPr>
          <w:lang w:val="en-CA"/>
        </w:rPr>
        <w:fldChar w:fldCharType="begin"/>
      </w:r>
      <w:r w:rsidRPr="00100F23">
        <w:rPr>
          <w:lang w:val="en-CA"/>
        </w:rPr>
        <w:instrText xml:space="preserve"> REF _Ref81345150 \h  \* MERGEFORMAT </w:instrText>
      </w:r>
      <w:r w:rsidRPr="00100F23">
        <w:rPr>
          <w:lang w:val="en-CA"/>
        </w:rPr>
      </w:r>
      <w:r w:rsidRPr="00100F23">
        <w:rPr>
          <w:lang w:val="en-CA"/>
        </w:rPr>
        <w:fldChar w:fldCharType="separate"/>
      </w:r>
      <w:r w:rsidRPr="0061570B">
        <w:rPr>
          <w:b/>
          <w:bCs w:val="0"/>
          <w:szCs w:val="24"/>
          <w:lang w:val="en-GB"/>
        </w:rPr>
        <w:t>Table 2</w:t>
      </w:r>
      <w:r w:rsidRPr="00100F23">
        <w:rPr>
          <w:lang w:val="en-CA"/>
        </w:rPr>
        <w:fldChar w:fldCharType="end"/>
      </w:r>
      <w:r w:rsidRPr="00BD14BD">
        <w:rPr>
          <w:lang w:val="en-CA"/>
        </w:rPr>
        <w:t>). Each scenario was then simulated 180 times, for a total of 1,620 (9 × 180) unique replicates for this experiment, excluding the control simulations (</w:t>
      </w:r>
      <w:r w:rsidRPr="00100F23">
        <w:rPr>
          <w:lang w:val="en-CA"/>
        </w:rPr>
        <w:fldChar w:fldCharType="begin"/>
      </w:r>
      <w:r w:rsidRPr="00100F23">
        <w:rPr>
          <w:lang w:val="en-CA"/>
        </w:rPr>
        <w:instrText xml:space="preserve"> REF _Ref81345150 \h  \* MERGEFORMAT </w:instrText>
      </w:r>
      <w:r w:rsidRPr="00100F23">
        <w:rPr>
          <w:lang w:val="en-CA"/>
        </w:rPr>
      </w:r>
      <w:r w:rsidRPr="00100F23">
        <w:rPr>
          <w:lang w:val="en-CA"/>
        </w:rPr>
        <w:fldChar w:fldCharType="separate"/>
      </w:r>
      <w:r w:rsidRPr="0061570B">
        <w:rPr>
          <w:b/>
          <w:bCs w:val="0"/>
          <w:szCs w:val="24"/>
          <w:lang w:val="en-GB"/>
        </w:rPr>
        <w:t>Table 2</w:t>
      </w:r>
      <w:r w:rsidRPr="00100F23">
        <w:rPr>
          <w:lang w:val="en-CA"/>
        </w:rPr>
        <w:fldChar w:fldCharType="end"/>
      </w:r>
      <w:r w:rsidRPr="00100F23">
        <w:rPr>
          <w:lang w:val="en-CA"/>
        </w:rPr>
        <w:t>).</w:t>
      </w:r>
    </w:p>
    <w:p w14:paraId="31A6F225" w14:textId="77777777" w:rsidR="008D3B5A" w:rsidRPr="00BD14BD" w:rsidRDefault="008D3B5A" w:rsidP="004775A3">
      <w:pPr>
        <w:spacing w:line="480" w:lineRule="auto"/>
        <w:rPr>
          <w:lang w:val="en-CA"/>
        </w:rPr>
      </w:pPr>
      <w:r w:rsidRPr="00BD14BD">
        <w:rPr>
          <w:lang w:val="en-CA"/>
        </w:rPr>
        <w:t>For each replicate, we initialized the simulation by randomly distributing alleles among individuals, therefore approaching the maximum (</w:t>
      </w:r>
      <w:r w:rsidRPr="00BD14BD">
        <w:rPr>
          <w:i/>
          <w:iCs/>
          <w:lang w:val="en-CA"/>
        </w:rPr>
        <w:t>p</w:t>
      </w:r>
      <w:r w:rsidRPr="00BD14BD">
        <w:rPr>
          <w:lang w:val="en-CA"/>
        </w:rPr>
        <w:t>=</w:t>
      </w:r>
      <w:r w:rsidRPr="00BD14BD">
        <w:rPr>
          <w:i/>
          <w:iCs/>
          <w:lang w:val="en-CA"/>
        </w:rPr>
        <w:t>q</w:t>
      </w:r>
      <w:r w:rsidRPr="00BD14BD">
        <w:rPr>
          <w:lang w:val="en-CA"/>
        </w:rPr>
        <w:t xml:space="preserve">=0.5 maximizes </w:t>
      </w:r>
      <w:proofErr w:type="spellStart"/>
      <w:r w:rsidRPr="00BD14BD">
        <w:rPr>
          <w:i/>
          <w:iCs/>
          <w:lang w:val="en-CA"/>
        </w:rPr>
        <w:t>p×q</w:t>
      </w:r>
      <w:proofErr w:type="spellEnd"/>
      <w:r w:rsidRPr="00BD14BD">
        <w:rPr>
          <w:lang w:val="en-CA"/>
        </w:rPr>
        <w:t xml:space="preserve">) genetic diversity </w:t>
      </w:r>
      <w:r w:rsidRPr="00BD14BD">
        <w:rPr>
          <w:lang w:val="en-CA"/>
        </w:rPr>
        <w:fldChar w:fldCharType="begin" w:fldLock="1"/>
      </w:r>
      <w:r>
        <w:rPr>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demogenetics","type":"article-journal","volume":"8"},"uris":["http://www.mendeley.com/documents/?uuid=9e136494-ea58-4e87-8b0b-05976e46a8ac"]}],"mendeley":{"formattedCitation":"(Landguth et al. 2017a)","plainTextFormattedCitation":"(Landguth et al. 2017a)","previouslyFormattedCitation":"(Landguth et al. 2017a)"},"properties":{"noteIndex":0},"schema":"https://github.com/citation-style-language/schema/raw/master/csl-citation.json"}</w:instrText>
      </w:r>
      <w:r w:rsidRPr="00BD14BD">
        <w:rPr>
          <w:lang w:val="en-CA"/>
        </w:rPr>
        <w:fldChar w:fldCharType="separate"/>
      </w:r>
      <w:r w:rsidRPr="00F9113C">
        <w:rPr>
          <w:noProof/>
          <w:lang w:val="en-CA"/>
        </w:rPr>
        <w:t>(Landguth et al. 2017a)</w:t>
      </w:r>
      <w:r w:rsidRPr="00BD14BD">
        <w:rPr>
          <w:lang w:val="en-CA"/>
        </w:rPr>
        <w:fldChar w:fldCharType="end"/>
      </w:r>
      <w:r w:rsidRPr="00BD14BD">
        <w:rPr>
          <w:lang w:val="en-CA"/>
        </w:rPr>
        <w:t xml:space="preserve">. Those parameters were chosen as a compromise between realistic allele distributions and computational limitations and were appropriate for producing simulated genetic data that could reasonably recreate the complex evolutionary dynamics in real populations. Each simulation was run for 100 </w:t>
      </w:r>
      <w:r>
        <w:rPr>
          <w:lang w:val="en-CA"/>
        </w:rPr>
        <w:t xml:space="preserve">generations </w:t>
      </w:r>
      <w:r w:rsidRPr="00BD14BD">
        <w:rPr>
          <w:lang w:val="en-CA"/>
        </w:rPr>
        <w:t>before the demographic event was imposed on up to three populations in the landscape. Ten additional generations were simulated after the event. Sampling was performed up to 9 generations before and after the event.</w:t>
      </w:r>
    </w:p>
    <w:p w14:paraId="6CA454F9" w14:textId="77777777" w:rsidR="008D3B5A" w:rsidRPr="00BD14BD" w:rsidRDefault="008D3B5A" w:rsidP="004775A3">
      <w:pPr>
        <w:pStyle w:val="Heading4"/>
        <w:spacing w:line="480" w:lineRule="auto"/>
        <w:rPr>
          <w:lang w:val="en-CA"/>
        </w:rPr>
      </w:pPr>
      <w:bookmarkStart w:id="13" w:name="_Toc79591395"/>
      <w:bookmarkStart w:id="14" w:name="_Toc81356470"/>
      <w:r w:rsidRPr="00BD14BD">
        <w:rPr>
          <w:lang w:val="en-CA"/>
        </w:rPr>
        <w:t>2.4. Dispersal</w:t>
      </w:r>
      <w:bookmarkEnd w:id="13"/>
      <w:bookmarkEnd w:id="14"/>
    </w:p>
    <w:p w14:paraId="775CC4FF" w14:textId="6915B441" w:rsidR="008D3B5A" w:rsidRPr="00BD14BD" w:rsidRDefault="008D3B5A" w:rsidP="004775A3">
      <w:pPr>
        <w:spacing w:line="480" w:lineRule="auto"/>
        <w:rPr>
          <w:lang w:val="en-CA"/>
        </w:rPr>
      </w:pPr>
      <w:r w:rsidRPr="00BD14BD">
        <w:rPr>
          <w:lang w:val="en-CA"/>
        </w:rPr>
        <w:t xml:space="preserve">Dispersal was modelled using the weighted geographic distance between populations using a power law function, </w:t>
      </w:r>
      <m:oMath>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-B * distance</m:t>
            </m:r>
          </m:sup>
        </m:sSup>
      </m:oMath>
      <w:r w:rsidRPr="00BD14BD">
        <w:rPr>
          <w:lang w:val="en-CA"/>
        </w:rPr>
        <w:t xml:space="preserve">, where </w:t>
      </w:r>
      <w:r w:rsidRPr="00BD14BD">
        <w:rPr>
          <w:i/>
          <w:lang w:val="en-CA"/>
        </w:rPr>
        <w:t xml:space="preserve">B </w:t>
      </w:r>
      <w:r w:rsidRPr="00BD14BD">
        <w:rPr>
          <w:lang w:val="en-CA"/>
        </w:rPr>
        <w:t xml:space="preserve">represents the difficulty of dispersal. High values of </w:t>
      </w:r>
      <w:r w:rsidRPr="00BD14BD">
        <w:rPr>
          <w:i/>
          <w:lang w:val="en-CA"/>
        </w:rPr>
        <w:t>B</w:t>
      </w:r>
      <w:r w:rsidRPr="00BD14BD">
        <w:rPr>
          <w:lang w:val="en-CA"/>
        </w:rPr>
        <w:t xml:space="preserve"> correspond to low dispersal capacity. Within a simulation run, </w:t>
      </w:r>
      <w:r w:rsidRPr="00BD14BD">
        <w:rPr>
          <w:i/>
          <w:lang w:val="en-CA"/>
        </w:rPr>
        <w:t xml:space="preserve">B </w:t>
      </w:r>
      <w:r w:rsidRPr="00BD14BD">
        <w:rPr>
          <w:lang w:val="en-CA"/>
        </w:rPr>
        <w:t xml:space="preserve">was constant while we randomly picked distances at which individuals dispersed based on the power law </w:t>
      </w:r>
      <w:r w:rsidRPr="00BD14BD">
        <w:rPr>
          <w:lang w:val="en-CA"/>
        </w:rPr>
        <w:lastRenderedPageBreak/>
        <w:t xml:space="preserve">function. To do so, we rescaled the values of all distances in the landscape, using the maximum </w:t>
      </w:r>
      <m:oMath>
        <m:r>
          <w:rPr>
            <w:rFonts w:ascii="Cambria Math" w:hAnsi="Cambria Math"/>
            <w:lang w:val="en-CA"/>
          </w:rPr>
          <m:t>(4√2)</m:t>
        </m:r>
      </m:oMath>
      <w:r w:rsidRPr="00BD14BD">
        <w:rPr>
          <w:lang w:val="en-CA"/>
        </w:rPr>
        <w:t xml:space="preserve"> and the minimum (0) distances possible in this virtual landscape, as described in the </w:t>
      </w:r>
      <w:proofErr w:type="spellStart"/>
      <w:r w:rsidRPr="00BD14BD">
        <w:rPr>
          <w:i/>
          <w:lang w:val="en-CA"/>
        </w:rPr>
        <w:t>CDMetaPOP</w:t>
      </w:r>
      <w:proofErr w:type="spellEnd"/>
      <w:r w:rsidRPr="00BD14BD">
        <w:rPr>
          <w:lang w:val="en-CA"/>
        </w:rPr>
        <w:t xml:space="preserve"> </w:t>
      </w:r>
      <w:r w:rsidRPr="00BD14BD">
        <w:rPr>
          <w:lang w:val="en-CA"/>
        </w:rPr>
        <w:fldChar w:fldCharType="begin" w:fldLock="1"/>
      </w:r>
      <w:r>
        <w:rPr>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demogenetics","type":"article-journal","volume":"8"},"uris":["http://www.mendeley.com/documents/?uuid=9e136494-ea58-4e87-8b0b-05976e46a8ac"]}],"mendeley":{"formattedCitation":"(Landguth et al. 2017a)","plainTextFormattedCitation":"(Landguth et al. 2017a)","previouslyFormattedCitation":"(Landguth et al. 2017a)"},"properties":{"noteIndex":0},"schema":"https://github.com/citation-style-language/schema/raw/master/csl-citation.json"}</w:instrText>
      </w:r>
      <w:r w:rsidRPr="00BD14BD">
        <w:rPr>
          <w:lang w:val="en-CA"/>
        </w:rPr>
        <w:fldChar w:fldCharType="separate"/>
      </w:r>
      <w:r w:rsidRPr="00BD14BD">
        <w:rPr>
          <w:noProof/>
          <w:lang w:val="en-CA"/>
        </w:rPr>
        <w:t>(Landguth et al. 2017a)</w:t>
      </w:r>
      <w:r w:rsidRPr="00BD14BD">
        <w:rPr>
          <w:lang w:val="en-CA"/>
        </w:rPr>
        <w:fldChar w:fldCharType="end"/>
      </w:r>
      <w:r w:rsidRPr="00BD14BD">
        <w:rPr>
          <w:lang w:val="en-CA"/>
        </w:rPr>
        <w:t xml:space="preserve"> user’s manual (p. 63). This produced values in the [0,1] range. Rescaled values were considered to represent probabilities that an individual disperses to a cell located at that distance (</w:t>
      </w:r>
      <w:r>
        <w:rPr>
          <w:lang w:val="en-CA"/>
        </w:rPr>
        <w:fldChar w:fldCharType="begin"/>
      </w:r>
      <w:r>
        <w:rPr>
          <w:lang w:val="en-CA"/>
        </w:rPr>
        <w:instrText xml:space="preserve"> REF _Ref81344626 \h </w:instrText>
      </w:r>
      <w:r>
        <w:rPr>
          <w:lang w:val="en-CA"/>
        </w:rPr>
      </w:r>
      <w:r>
        <w:rPr>
          <w:lang w:val="en-CA"/>
        </w:rPr>
        <w:fldChar w:fldCharType="separate"/>
      </w:r>
      <w:r w:rsidRPr="00922099">
        <w:rPr>
          <w:b/>
          <w:bCs w:val="0"/>
          <w:lang w:val="en-GB"/>
        </w:rPr>
        <w:t xml:space="preserve">Table </w:t>
      </w:r>
      <w:r>
        <w:rPr>
          <w:b/>
          <w:bCs w:val="0"/>
          <w:noProof/>
          <w:lang w:val="en-GB"/>
        </w:rPr>
        <w:t>1</w:t>
      </w:r>
      <w:r>
        <w:rPr>
          <w:lang w:val="en-CA"/>
        </w:rPr>
        <w:fldChar w:fldCharType="end"/>
      </w:r>
      <w:r w:rsidRPr="00BD14BD">
        <w:rPr>
          <w:lang w:val="en-CA"/>
        </w:rPr>
        <w:t>).</w:t>
      </w:r>
      <w:r w:rsidRPr="00BD14BD">
        <w:rPr>
          <w:rFonts w:eastAsiaTheme="minorEastAsia"/>
          <w:lang w:val="en-CA"/>
        </w:rPr>
        <w:t xml:space="preserve"> </w:t>
      </w:r>
      <w:r w:rsidRPr="00BD14BD">
        <w:rPr>
          <w:lang w:val="en-CA"/>
        </w:rPr>
        <w:t xml:space="preserve">We chose this way of modelling dispersal to allow for both within-population movement and landscape-wide dispersal </w:t>
      </w:r>
      <w:r w:rsidRPr="00BD14BD">
        <w:rPr>
          <w:lang w:val="en-CA"/>
        </w:rPr>
        <w:fldChar w:fldCharType="begin" w:fldLock="1"/>
      </w:r>
      <w:r>
        <w:rPr>
          <w:lang w:val="en-CA"/>
        </w:rPr>
        <w:instrText>ADDIN CSL_CITATION {"citationItems":[{"id":"ITEM-1","itemData":{"DOI":"10.1139/gen-2019-0004","ISSN":"0831-2796","PMID":"31344331","abstract":"Identifying adaptive loci is important to understand the evolutionary potential of species undergoing range expansion. However, in expanding populations, spatial demographic processes such as allele surfing can create spatial patterns of neutral genetic variation that appear similar to those generated through adaptive processes. As a result, the false discovery rate of adaptive loci may be inflated in landscape genomic analyses. Here, we take a simulation modelling approach to investigate how range expansion affects our ability to correctly distinguish between neutral and adaptive genetic variation, using the mountain pine beetle outbreak system as a motivating example. We simulated the demographic and population genetic dynamics of populations undergoing range expansion using an individual-based genetic model CDMetaPOP. We investigated how the false discovery rate of adaptive loci is affected by (i) dispersal capacity, (ii) timing of sampling, and (iii) the strength of selection on an adaptive reference locus. We found that a combination of weak dispersal, weak selection, and early sampling presents the greatest risk of misidentifying loci under selection. Expanding populations present unique challenges to the reliable identification of adaptive loci. We demonstrate that there is a need for further methodological development to account for directional demographic processes in landscape genomics.","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A.","non-dropping-particle":"","parse-names":false,"suffix":""}],"container-title":"Genome","id":"ITEM-1","issue":"11","issued":{"date-parts":[["2019"]]},"page":"715-727","title":"The role of dispersal, selection, and timing of sampling on the false discovery rate of loci under selection during geographic range expansion","type":"article-journal","volume":"62"},"uris":["http://www.mendeley.com/documents/?uuid=e700a5dc-d63b-4f56-a204-e9152f655541"]}],"mendeley":{"formattedCitation":"(Mayrand et al. 2019)","plainTextFormattedCitation":"(Mayrand et al. 2019)","previouslyFormattedCitation":"(Mayrand et al. 2019)"},"properties":{"noteIndex":0},"schema":"https://github.com/citation-style-language/schema/raw/master/csl-citation.json"}</w:instrText>
      </w:r>
      <w:r w:rsidRPr="00BD14BD">
        <w:rPr>
          <w:lang w:val="en-CA"/>
        </w:rPr>
        <w:fldChar w:fldCharType="separate"/>
      </w:r>
      <w:r w:rsidRPr="00BD14BD">
        <w:rPr>
          <w:noProof/>
          <w:lang w:val="en-CA"/>
        </w:rPr>
        <w:t>(Mayrand et al. 2019)</w:t>
      </w:r>
      <w:r w:rsidRPr="00BD14BD">
        <w:rPr>
          <w:lang w:val="en-CA"/>
        </w:rPr>
        <w:fldChar w:fldCharType="end"/>
      </w:r>
      <w:r w:rsidRPr="00BD14BD">
        <w:rPr>
          <w:lang w:val="en-CA"/>
        </w:rPr>
        <w:t>.</w:t>
      </w:r>
    </w:p>
    <w:p w14:paraId="39DD21D9" w14:textId="43D60EEA" w:rsidR="008D3B5A" w:rsidRPr="00BD14BD" w:rsidRDefault="008D3B5A" w:rsidP="004775A3">
      <w:pPr>
        <w:spacing w:line="480" w:lineRule="auto"/>
        <w:rPr>
          <w:lang w:val="en-CA"/>
        </w:rPr>
      </w:pPr>
      <w:r w:rsidRPr="00BD14BD">
        <w:rPr>
          <w:lang w:val="en-CA"/>
        </w:rPr>
        <w:t>The population to which an individual dispersed was selected randomly from the set of populations available at the distance which was randomly picked following the probability distribution described above</w:t>
      </w:r>
      <w:r w:rsidRPr="00BD14BD">
        <w:rPr>
          <w:rFonts w:eastAsia="Times New Roman"/>
          <w:lang w:val="en-CA"/>
        </w:rPr>
        <w:t xml:space="preserve">. </w:t>
      </w:r>
      <w:r>
        <w:rPr>
          <w:rFonts w:eastAsia="Times New Roman"/>
          <w:lang w:val="en-CA"/>
        </w:rPr>
        <w:t>We set the landscape boundary conditions to impermeable and i</w:t>
      </w:r>
      <w:r w:rsidRPr="00BD14BD">
        <w:rPr>
          <w:rFonts w:eastAsia="Times New Roman"/>
          <w:lang w:val="en-CA"/>
        </w:rPr>
        <w:t>ndividuals</w:t>
      </w:r>
      <w:r>
        <w:rPr>
          <w:rFonts w:eastAsia="Times New Roman"/>
          <w:lang w:val="en-CA"/>
        </w:rPr>
        <w:t>, therefore,</w:t>
      </w:r>
      <w:r w:rsidRPr="00BD14BD">
        <w:rPr>
          <w:rFonts w:eastAsia="Times New Roman"/>
          <w:lang w:val="en-CA"/>
        </w:rPr>
        <w:t xml:space="preserve"> always stayed within our simulated landscape</w:t>
      </w:r>
      <w:r>
        <w:rPr>
          <w:rFonts w:eastAsia="Times New Roman"/>
          <w:lang w:val="en-CA"/>
        </w:rPr>
        <w:t>.</w:t>
      </w:r>
      <w:r w:rsidRPr="00BD14BD">
        <w:rPr>
          <w:rFonts w:eastAsia="Times New Roman"/>
          <w:lang w:val="en-CA"/>
        </w:rPr>
        <w:t xml:space="preserve"> </w:t>
      </w:r>
      <w:r>
        <w:rPr>
          <w:rFonts w:eastAsia="Times New Roman"/>
          <w:lang w:val="en-CA"/>
        </w:rPr>
        <w:t>A</w:t>
      </w:r>
      <w:r w:rsidRPr="00BD14BD">
        <w:rPr>
          <w:rFonts w:eastAsia="Times New Roman"/>
          <w:lang w:val="en-CA"/>
        </w:rPr>
        <w:t xml:space="preserve">ny individual could disperse </w:t>
      </w:r>
      <w:r w:rsidRPr="00BD14BD">
        <w:rPr>
          <w:rFonts w:eastAsiaTheme="minorEastAsia"/>
          <w:lang w:val="en-CA"/>
        </w:rPr>
        <w:t>to any one of the 25 populations at each generation</w:t>
      </w:r>
      <w:r>
        <w:rPr>
          <w:rFonts w:eastAsiaTheme="minorEastAsia"/>
          <w:lang w:val="en-CA"/>
        </w:rPr>
        <w:t xml:space="preserve"> with probability of dispersal decreasing with distance</w:t>
      </w:r>
      <w:r w:rsidRPr="00BD14BD">
        <w:rPr>
          <w:rFonts w:eastAsiaTheme="minorEastAsia"/>
          <w:lang w:val="en-CA"/>
        </w:rPr>
        <w:t xml:space="preserve">. </w:t>
      </w:r>
      <w:r w:rsidRPr="00BD14BD">
        <w:rPr>
          <w:lang w:val="en-CA"/>
        </w:rPr>
        <w:t xml:space="preserve">To investigate the effect of different levels of dispersal, we ran separate simulations using three different values of </w:t>
      </w:r>
      <w:r w:rsidRPr="00BD14BD">
        <w:rPr>
          <w:i/>
          <w:lang w:val="en-CA"/>
        </w:rPr>
        <w:t>B</w:t>
      </w:r>
      <w:r w:rsidRPr="00BD14BD">
        <w:rPr>
          <w:lang w:val="en-CA"/>
        </w:rPr>
        <w:t>: low (</w:t>
      </w:r>
      <w:r w:rsidRPr="00BD14BD">
        <w:rPr>
          <w:i/>
          <w:lang w:val="en-CA"/>
        </w:rPr>
        <w:t>B</w:t>
      </w:r>
      <w:r w:rsidRPr="00BD14BD">
        <w:rPr>
          <w:lang w:val="en-CA"/>
        </w:rPr>
        <w:t xml:space="preserve"> = 2), moderate (</w:t>
      </w:r>
      <w:r w:rsidRPr="00BD14BD">
        <w:rPr>
          <w:i/>
          <w:lang w:val="en-CA"/>
        </w:rPr>
        <w:t>B</w:t>
      </w:r>
      <w:r w:rsidRPr="00BD14BD">
        <w:rPr>
          <w:lang w:val="en-CA"/>
        </w:rPr>
        <w:t xml:space="preserve"> = 1.301) and high (</w:t>
      </w:r>
      <w:r w:rsidRPr="00BD14BD">
        <w:rPr>
          <w:i/>
          <w:lang w:val="en-CA"/>
        </w:rPr>
        <w:t>B</w:t>
      </w:r>
      <w:r w:rsidRPr="00BD14BD">
        <w:rPr>
          <w:lang w:val="en-CA"/>
        </w:rPr>
        <w:t xml:space="preserve"> = 0.6015) dispersal capacity (</w:t>
      </w:r>
      <w:r w:rsidRPr="00100F23">
        <w:rPr>
          <w:lang w:val="en-CA"/>
        </w:rPr>
        <w:fldChar w:fldCharType="begin"/>
      </w:r>
      <w:r w:rsidRPr="00100F23">
        <w:rPr>
          <w:lang w:val="en-CA"/>
        </w:rPr>
        <w:instrText xml:space="preserve"> REF _Ref81345268 \h  \* MERGEFORMAT </w:instrText>
      </w:r>
      <w:r w:rsidRPr="00100F23">
        <w:rPr>
          <w:lang w:val="en-CA"/>
        </w:rPr>
      </w:r>
      <w:r w:rsidRPr="00100F23">
        <w:rPr>
          <w:lang w:val="en-CA"/>
        </w:rPr>
        <w:fldChar w:fldCharType="separate"/>
      </w:r>
      <w:r w:rsidRPr="0061570B">
        <w:rPr>
          <w:b/>
          <w:bCs w:val="0"/>
          <w:szCs w:val="24"/>
          <w:lang w:val="en-GB"/>
        </w:rPr>
        <w:t>Figure 1</w:t>
      </w:r>
      <w:r w:rsidRPr="00100F23">
        <w:rPr>
          <w:lang w:val="en-CA"/>
        </w:rPr>
        <w:fldChar w:fldCharType="end"/>
      </w:r>
      <w:r w:rsidRPr="00BD14BD">
        <w:rPr>
          <w:lang w:val="en-CA"/>
        </w:rPr>
        <w:t>;</w:t>
      </w:r>
      <w:r>
        <w:rPr>
          <w:lang w:val="en-CA"/>
        </w:rPr>
        <w:t xml:space="preserve"> </w:t>
      </w:r>
      <w:r w:rsidRPr="00100F23">
        <w:rPr>
          <w:lang w:val="en-CA"/>
        </w:rPr>
        <w:fldChar w:fldCharType="begin"/>
      </w:r>
      <w:r w:rsidRPr="00100F23">
        <w:rPr>
          <w:lang w:val="en-CA"/>
        </w:rPr>
        <w:instrText xml:space="preserve"> REF _Ref81345150 \h  \* MERGEFORMAT </w:instrText>
      </w:r>
      <w:r w:rsidRPr="00100F23">
        <w:rPr>
          <w:lang w:val="en-CA"/>
        </w:rPr>
      </w:r>
      <w:r w:rsidRPr="00100F23">
        <w:rPr>
          <w:lang w:val="en-CA"/>
        </w:rPr>
        <w:fldChar w:fldCharType="separate"/>
      </w:r>
      <w:r w:rsidRPr="0061570B">
        <w:rPr>
          <w:b/>
          <w:bCs w:val="0"/>
          <w:szCs w:val="24"/>
          <w:lang w:val="en-GB"/>
        </w:rPr>
        <w:t>Table 2</w:t>
      </w:r>
      <w:r w:rsidRPr="00100F23">
        <w:rPr>
          <w:lang w:val="en-CA"/>
        </w:rPr>
        <w:fldChar w:fldCharType="end"/>
      </w:r>
      <w:r w:rsidRPr="00BD14BD">
        <w:rPr>
          <w:lang w:val="en-CA"/>
        </w:rPr>
        <w:t>).</w:t>
      </w:r>
    </w:p>
    <w:p w14:paraId="736850F4" w14:textId="77777777" w:rsidR="008D3B5A" w:rsidRPr="00BD14BD" w:rsidRDefault="008D3B5A" w:rsidP="004775A3">
      <w:pPr>
        <w:pStyle w:val="Heading4"/>
        <w:numPr>
          <w:ilvl w:val="0"/>
          <w:numId w:val="0"/>
        </w:numPr>
        <w:spacing w:line="480" w:lineRule="auto"/>
        <w:rPr>
          <w:lang w:val="en-CA"/>
        </w:rPr>
      </w:pPr>
      <w:bookmarkStart w:id="15" w:name="_Toc79591396"/>
      <w:bookmarkStart w:id="16" w:name="_Toc81356471"/>
      <w:r w:rsidRPr="00BD14BD">
        <w:rPr>
          <w:lang w:val="en-CA"/>
        </w:rPr>
        <w:t>2.5. Spatial extent</w:t>
      </w:r>
      <w:bookmarkEnd w:id="15"/>
      <w:bookmarkEnd w:id="16"/>
      <w:r w:rsidRPr="00BD14BD">
        <w:rPr>
          <w:lang w:val="en-CA"/>
        </w:rPr>
        <w:t xml:space="preserve"> </w:t>
      </w:r>
    </w:p>
    <w:p w14:paraId="03F699A7" w14:textId="77777777" w:rsidR="008D3B5A" w:rsidRPr="00BD14BD" w:rsidRDefault="008D3B5A" w:rsidP="004775A3">
      <w:pPr>
        <w:spacing w:line="480" w:lineRule="auto"/>
        <w:rPr>
          <w:lang w:val="en-CA"/>
        </w:rPr>
      </w:pPr>
      <w:r w:rsidRPr="00BD14BD">
        <w:rPr>
          <w:lang w:val="en-CA"/>
        </w:rPr>
        <w:t xml:space="preserve">We also evaluated how the spatial extent of the simulated immigration event affected the performance of our TGI method. To do this, we allowed individuals from population #26 to immigrate into one, two, or three populations that were randomly selected from the original 25. We varied the position of where the demographic event occurred in the landscape among simulation replicates because deme topology may influence the outcomes of population genetic analyses </w:t>
      </w:r>
      <w:r w:rsidRPr="00BD14BD">
        <w:rPr>
          <w:lang w:val="en-CA"/>
        </w:rPr>
        <w:fldChar w:fldCharType="begin" w:fldLock="1"/>
      </w:r>
      <w:r w:rsidRPr="00BD14BD">
        <w:rPr>
          <w:lang w:val="en-CA"/>
        </w:rPr>
        <w:instrText>ADDIN CSL_CITATION {"citationItems":[{"id":"ITEM-1","itemData":{"DOI":"10.1111/j.1420-9101.2009.01860.x","ISSN":"1010061X","PMID":"20002255","abstract":"The local density of individuals is seldom uniform in space and time within natural populations. Yet, formal approaches to the process of isolation by distance in continuous populations have encountered analytical difficulties in describing genetic structuring with demographic heterogeneities, usually disregarding local correlations in the movement and reproduction of genes. We formulate exact recursions for probabilities of identity in continuous populations, from which we deduce definitions of effective dispersal () and effective density (De) that generalize results relating spatial genetic structure, dispersal and density in lattice models. The latter claim is checked in simulations where estimates of effective parameters obtained from demographic information are compared with estimates derived from spatial genetic patterns in a plant population evolving in a heterogeneous and dynamic habitat. The simulations further suggest that increasing spatio-temporal correlations in local density reduce and generally decrease the product, with dispersal kurtosis influencing their sensitivity to density fluctuations. As in the lattice model, the expected relationship between the product and the genetic structure statistic ar holds under fluctuating density, irrespective of dispersal kurtosis. The product D σ2 between observed census density and the observed dispersal rate over one generation will generally be an upwardly biased (up to 400% in simulations) estimator of in populations distributed in spatially aggregated habitats. © 2009 European Society For Evolutionary Biology.","author":[{"dropping-particle":"","family":"Robledo-Arnuncio","given":"J. J.","non-dropping-particle":"","parse-names":false,"suffix":""},{"dropping-particle":"","family":"Rousset","given":"François","non-dropping-particle":"","parse-names":false,"suffix":""}],"container-title":"Journal of Evolutionary Biology","id":"ITEM-1","issue":"1","issued":{"date-parts":[["2010"]]},"page":"53-71","title":"Isolation by distance in a continuous population under stochastic demographic fluctuations","type":"article-journal","volume":"23"},"uris":["http://www.mendeley.com/documents/?uuid=11b267fd-9ab9-4eed-ac4f-e04e776b6b41"]}],"mendeley":{"formattedCitation":"(Robledo-Arnuncio &amp; Rousset 2010)","plainTextFormattedCitation":"(Robledo-Arnuncio &amp; Rousset 2010)","previouslyFormattedCitation":"(Robledo-Arnuncio &amp; Rousset 2010)"},"properties":{"noteIndex":0},"schema":"https://github.com/citation-style-language/schema/raw/master/csl-citation.json"}</w:instrText>
      </w:r>
      <w:r w:rsidRPr="00BD14BD">
        <w:rPr>
          <w:lang w:val="en-CA"/>
        </w:rPr>
        <w:fldChar w:fldCharType="separate"/>
      </w:r>
      <w:r w:rsidRPr="00BD14BD">
        <w:rPr>
          <w:noProof/>
          <w:lang w:val="en-CA"/>
        </w:rPr>
        <w:t>(Robledo-Arnuncio &amp; Rousset 2010)</w:t>
      </w:r>
      <w:r w:rsidRPr="00BD14BD">
        <w:rPr>
          <w:lang w:val="en-CA"/>
        </w:rPr>
        <w:fldChar w:fldCharType="end"/>
      </w:r>
      <w:r w:rsidRPr="00BD14BD">
        <w:rPr>
          <w:lang w:val="en-CA"/>
        </w:rPr>
        <w:t xml:space="preserve">. For scenarios in which only one </w:t>
      </w:r>
      <w:r w:rsidRPr="00BD14BD">
        <w:rPr>
          <w:lang w:val="en-CA"/>
        </w:rPr>
        <w:lastRenderedPageBreak/>
        <w:t>population was affected, we partitioned the 180 replicate simulations equally among six populations in the landscape. Because our landscape is square and homogeneously resistant to movement, it is symmetric and there are only six unique positions. Systematically choosing those six positions as a pool of potential targets for our demographic event therefore covered all possible spatial patterns in our simulations. One or more populations among these six populations were randomly selected once and were identical across runs. When multiple (two or three) populations underwent a demographic event, we randomly chose one of these six geographically unique populations and randomly picked one or two additional populations directly adjacent to it. We chose to pick adjacent populations to respect the spatial autocorrelation often exhibited in demographic events. For each of the two- and three-population simulations, we repeated this population selection procedure six times and ran 30 replicate simulations for each set of populations.</w:t>
      </w:r>
    </w:p>
    <w:p w14:paraId="26715CA2" w14:textId="77777777" w:rsidR="008D3B5A" w:rsidRPr="00BD14BD" w:rsidRDefault="008D3B5A" w:rsidP="004775A3">
      <w:pPr>
        <w:pStyle w:val="Heading4"/>
        <w:spacing w:line="480" w:lineRule="auto"/>
        <w:rPr>
          <w:lang w:val="en-CA"/>
        </w:rPr>
      </w:pPr>
      <w:bookmarkStart w:id="17" w:name="_Toc79591397"/>
      <w:bookmarkStart w:id="18" w:name="_Toc81356472"/>
      <w:r w:rsidRPr="00BD14BD">
        <w:rPr>
          <w:lang w:val="en-CA"/>
        </w:rPr>
        <w:t>2.6. Statistical performance</w:t>
      </w:r>
      <w:bookmarkEnd w:id="17"/>
      <w:bookmarkEnd w:id="18"/>
    </w:p>
    <w:p w14:paraId="65FB78D5" w14:textId="77777777" w:rsidR="008D3B5A" w:rsidRPr="00BD14BD" w:rsidRDefault="008D3B5A" w:rsidP="004775A3">
      <w:pPr>
        <w:spacing w:line="480" w:lineRule="auto"/>
        <w:rPr>
          <w:lang w:val="en-CA"/>
        </w:rPr>
      </w:pPr>
      <w:r w:rsidRPr="00BD14BD">
        <w:rPr>
          <w:lang w:val="en-CA"/>
        </w:rPr>
        <w:t xml:space="preserve">We assessed the statistical performance of our TGI testing procedure using the false positive rate (FPR) and false negative rate (FNR). In our study, a false positive was a population that we knew did not undergo the demographic change we </w:t>
      </w:r>
      <w:proofErr w:type="gramStart"/>
      <w:r w:rsidRPr="00BD14BD">
        <w:rPr>
          <w:lang w:val="en-CA"/>
        </w:rPr>
        <w:t>imposed</w:t>
      </w:r>
      <w:r>
        <w:rPr>
          <w:lang w:val="en-CA"/>
        </w:rPr>
        <w:t>,</w:t>
      </w:r>
      <w:r w:rsidRPr="00BD14BD">
        <w:rPr>
          <w:lang w:val="en-CA"/>
        </w:rPr>
        <w:t xml:space="preserve"> but</w:t>
      </w:r>
      <w:proofErr w:type="gramEnd"/>
      <w:r w:rsidRPr="00BD14BD">
        <w:rPr>
          <w:lang w:val="en-CA"/>
        </w:rPr>
        <w:t xml:space="preserve"> was found to have done so using the TGI test, whereas a false negative was a population that experienced the demographic event but exhibited no significant change </w:t>
      </w:r>
      <w:r>
        <w:rPr>
          <w:lang w:val="en-CA"/>
        </w:rPr>
        <w:t>according to</w:t>
      </w:r>
      <w:r w:rsidRPr="00BD14BD">
        <w:rPr>
          <w:lang w:val="en-CA"/>
        </w:rPr>
        <w:t xml:space="preserve"> the TGI test. The FPR is expressed as the ratio of false positives to the total number of negative tests (i.e., true negatives and false positives), and the FNR is expressed as the ratio of false negatives to the total number of positive tests (i.e., true positives and false negatives).</w:t>
      </w:r>
    </w:p>
    <w:p w14:paraId="7B57763E" w14:textId="77777777" w:rsidR="008D3B5A" w:rsidRDefault="008D3B5A" w:rsidP="004775A3">
      <w:pPr>
        <w:spacing w:line="480" w:lineRule="auto"/>
        <w:rPr>
          <w:lang w:val="en-CA"/>
        </w:rPr>
      </w:pPr>
      <w:r w:rsidRPr="00BD14BD">
        <w:rPr>
          <w:lang w:val="en-CA"/>
        </w:rPr>
        <w:lastRenderedPageBreak/>
        <w:t xml:space="preserve">A high FPR would indicate that our TGI measure often selected the wrong population(s) as having changed significantly and that our testing procedure was less selective. Researchers generally want to minimize the FPR when there are, for example, limited resources available for conservation efforts. In contrast, a high FNR would mean that we often failed to identify the population(s) that were </w:t>
      </w:r>
      <w:proofErr w:type="gramStart"/>
      <w:r w:rsidRPr="00BD14BD">
        <w:rPr>
          <w:lang w:val="en-CA"/>
        </w:rPr>
        <w:t>actually affected</w:t>
      </w:r>
      <w:proofErr w:type="gramEnd"/>
      <w:r>
        <w:rPr>
          <w:lang w:val="en-CA"/>
        </w:rPr>
        <w:t>,</w:t>
      </w:r>
      <w:r w:rsidRPr="00BD14BD">
        <w:rPr>
          <w:lang w:val="en-CA"/>
        </w:rPr>
        <w:t xml:space="preserve"> and that our testing procedure had low discriminatory power. Researchers may want to minimize the FNR in situations where finding all affected populations is the most important aspect, for example, if there is limited time to take conservation action. </w:t>
      </w:r>
    </w:p>
    <w:p w14:paraId="656013D2" w14:textId="77777777" w:rsidR="008D3B5A" w:rsidRPr="00BD14BD" w:rsidRDefault="008D3B5A" w:rsidP="004775A3">
      <w:pPr>
        <w:spacing w:line="480" w:lineRule="auto"/>
        <w:rPr>
          <w:lang w:val="en-CA"/>
        </w:rPr>
      </w:pPr>
      <w:r>
        <w:rPr>
          <w:lang w:val="en-CA"/>
        </w:rPr>
        <w:t xml:space="preserve">TGI’s performance may vary with cut-off values, and a trade-off between power and selectivity is expected to occur. </w:t>
      </w:r>
      <w:r w:rsidRPr="00BD14BD">
        <w:rPr>
          <w:lang w:val="en-CA"/>
        </w:rPr>
        <w:t>To characterize this compromise, we evaluated the statistical performance of TGI using a range of significance thresholds for calculating FPR and FNR: 0.001, 0.005, 0.01, 0.015, 0.020, 0.025, 0.030, 0.035, 0.040, 0.045, 0.050, 0.055, 0.060, 0.065, 0.070, 0.075, 0.080, 0.085, 0.090, 0.095, and 0.1.</w:t>
      </w:r>
      <w:r>
        <w:rPr>
          <w:lang w:val="en-CA"/>
        </w:rPr>
        <w:t xml:space="preserve"> </w:t>
      </w:r>
      <w:r w:rsidRPr="00BD14BD">
        <w:rPr>
          <w:lang w:val="en-CA"/>
        </w:rPr>
        <w:t>We did not conduct corrections for multiple tests (e.g., Bonferroni) because in our simulation framework, use of such a test would simply translate into another range of thresholds. However, choosing to correct for multiple tests is possible in our function. Note that 0.001 is the lowest possible value when using 999 permutations.</w:t>
      </w:r>
      <w:r>
        <w:rPr>
          <w:lang w:val="en-CA"/>
        </w:rPr>
        <w:t xml:space="preserve"> A compromising threshold value for the trade-off, as evaluated through this question, was used in the analyses focussed on time lag.</w:t>
      </w:r>
    </w:p>
    <w:p w14:paraId="31E53D53" w14:textId="77777777" w:rsidR="008D3B5A" w:rsidRPr="00BD14BD" w:rsidRDefault="008D3B5A" w:rsidP="004775A3">
      <w:pPr>
        <w:pStyle w:val="Heading4"/>
        <w:spacing w:line="480" w:lineRule="auto"/>
        <w:rPr>
          <w:lang w:val="en-CA"/>
        </w:rPr>
      </w:pPr>
      <w:bookmarkStart w:id="19" w:name="_Toc79591398"/>
      <w:bookmarkStart w:id="20" w:name="_Toc81356473"/>
      <w:r w:rsidRPr="00BD14BD">
        <w:rPr>
          <w:lang w:val="en-CA"/>
        </w:rPr>
        <w:t>2.7. Time</w:t>
      </w:r>
      <w:bookmarkEnd w:id="19"/>
      <w:bookmarkEnd w:id="20"/>
    </w:p>
    <w:p w14:paraId="426E716B" w14:textId="2FE87A6C" w:rsidR="008D3B5A" w:rsidRPr="00BD14BD" w:rsidRDefault="008D3B5A" w:rsidP="004775A3">
      <w:pPr>
        <w:spacing w:line="480" w:lineRule="auto"/>
        <w:rPr>
          <w:i/>
          <w:lang w:val="en-CA"/>
        </w:rPr>
      </w:pPr>
      <w:r w:rsidRPr="00BD14BD">
        <w:rPr>
          <w:lang w:val="en-CA"/>
        </w:rPr>
        <w:t>We sought to assess how the time since the simulated demographic event influences the performance of the TGI method in each of our nine dispersal/spatial extent scenarios</w:t>
      </w:r>
      <w:r>
        <w:rPr>
          <w:lang w:val="en-CA"/>
        </w:rPr>
        <w:t xml:space="preserve"> </w:t>
      </w:r>
      <w:r w:rsidRPr="00BD14BD">
        <w:rPr>
          <w:lang w:val="en-CA"/>
        </w:rPr>
        <w:t>(</w:t>
      </w:r>
      <w:r w:rsidRPr="00100F23">
        <w:rPr>
          <w:lang w:val="en-CA"/>
        </w:rPr>
        <w:fldChar w:fldCharType="begin"/>
      </w:r>
      <w:r w:rsidRPr="00100F23">
        <w:rPr>
          <w:lang w:val="en-CA"/>
        </w:rPr>
        <w:instrText xml:space="preserve"> REF _Ref81345150 \h  \* MERGEFORMAT </w:instrText>
      </w:r>
      <w:r w:rsidRPr="00100F23">
        <w:rPr>
          <w:lang w:val="en-CA"/>
        </w:rPr>
      </w:r>
      <w:r w:rsidRPr="00100F23">
        <w:rPr>
          <w:lang w:val="en-CA"/>
        </w:rPr>
        <w:fldChar w:fldCharType="separate"/>
      </w:r>
      <w:r w:rsidRPr="0061570B">
        <w:rPr>
          <w:b/>
          <w:bCs w:val="0"/>
          <w:szCs w:val="24"/>
          <w:lang w:val="en-GB"/>
        </w:rPr>
        <w:t>Table 2</w:t>
      </w:r>
      <w:r w:rsidRPr="00100F23">
        <w:rPr>
          <w:lang w:val="en-CA"/>
        </w:rPr>
        <w:fldChar w:fldCharType="end"/>
      </w:r>
      <w:r w:rsidRPr="00BD14BD">
        <w:rPr>
          <w:lang w:val="en-CA"/>
        </w:rPr>
        <w:t xml:space="preserve">). To do so, we calculated the TGI for simulated data collected up to nine generations before </w:t>
      </w:r>
      <w:r w:rsidRPr="00BD14BD">
        <w:rPr>
          <w:lang w:val="en-CA"/>
        </w:rPr>
        <w:lastRenderedPageBreak/>
        <w:t xml:space="preserve">and after the event and compared it to the TGI calculated from data collected immediately before </w:t>
      </w:r>
      <w:r>
        <w:rPr>
          <w:lang w:val="en-CA"/>
        </w:rPr>
        <w:t>or</w:t>
      </w:r>
      <w:r w:rsidRPr="00BD14BD">
        <w:rPr>
          <w:lang w:val="en-CA"/>
        </w:rPr>
        <w:t xml:space="preserve"> after the event generation. We chose nine generations as the maximum time between samplings (nine generations before the event, or nine generations after the event) because this timeline is longer than most “before/after” population genetic studies in the literature</w:t>
      </w:r>
      <w:r>
        <w:rPr>
          <w:lang w:val="en-CA"/>
        </w:rPr>
        <w:t xml:space="preserve"> </w:t>
      </w:r>
      <w:r>
        <w:rPr>
          <w:lang w:val="en-CA"/>
        </w:rPr>
        <w:fldChar w:fldCharType="begin" w:fldLock="1"/>
      </w:r>
      <w:r>
        <w:rPr>
          <w:lang w:val="en-CA"/>
        </w:rPr>
        <w:instrText>ADDIN CSL_CITATION {"citationItems":[{"id":"ITEM-1","itemData":{"DOI":"10.1186/1471-2156-12-102","ISSN":"14712156","PMID":"22151746","abstract":"Background: Reconstructing the evolutionary history of a species is challenging. It often depends not only on the past biogeographic and climatic events but also the contemporary and ecological factors, such as current connectivity and habitat heterogeneity. In fact, these factors might interact with each other and shape the current species distribution. However, to what extent the current population genetic structure reflects the past and the contemporary factors is largely unknown. Here we investigated spatio-temporal genetic structures of Nile tilapia (Oreochromis niloticus) populations, across their natural distribution in Africa. While its large biogeographic distribution can cause genetic differentiation at the paleo-biogeographic scales, its restricted dispersal capacity might induce a strong genetic structure at micro-geographic scales.Results: Using nine microsatellite loci and 350 samples from ten natural populations, we found the highest genetic differentiation among the three ichthyofaunal provinces and regions (Ethiopian, Nilotic and Sudano-Sahelian) (RST= 0.38 - 0.69). This result suggests the predominant effect of paleo-geographic events at macro-geographic scale. In addition, intermediate divergences were found between rivers and lakes within the regions, presumably reflecting relatively recent interruptions of gene flow between hydrographic basins (RST= 0.24 - 0.32). The lowest differentiations were observed among connected populations within a basin (RST= 0.015 in the Volta basin). Comparison of temporal sample series revealed subtle changes in the gene pools in a few generations (F = 0 - 0.053). The estimated effective population sizes were 23 - 143 and the estimated migration rate was moderate (m ~ 0.094 - 0.097) in the Volta populations.Conclusions: This study revealed clear hierarchical patterns of the population genetic structuring of O. niloticus in Africa. The effects of paleo-geographic and climatic events were predominant at macro-geographic scale, and the significant effect of geographic connectivity was detected at micro-geographic scale. The estimated effective population size, the moderate level of dispersal and the rapid temporal change in genetic composition might reflect a potential effect of life history strategy on population dynamics. This hypothesis deserves further investigation. The dynamic pattern revealed at micro-geographic and temporal scales appears important from a genetic resource management as well as from…","author":[{"dropping-particle":"","family":"Bezault","given":"Etienne","non-dropping-particle":"","parse-names":false,"suffix":""},{"dropping-particle":"","family":"Balaresque","given":"Patricia","non-dropping-particle":"","parse-names":false,"suffix":""},{"dropping-particle":"","family":"Toguyeni","given":"Aboubacar","non-dropping-particle":"","parse-names":false,"suffix":""},{"dropping-particle":"","family":"Fermon","given":"Yves","non-dropping-particle":"","parse-names":false,"suffix":""},{"dropping-particle":"","family":"Araki","given":"Hitoshi","non-dropping-particle":"","parse-names":false,"suffix":""},{"dropping-particle":"","family":"Baroiller","given":"Jean François","non-dropping-particle":"","parse-names":false,"suffix":""},{"dropping-particle":"","family":"Rognon","given":"Xavier","non-dropping-particle":"","parse-names":false,"suffix":""}],"container-title":"BMC Genetics","id":"ITEM-1","issued":{"date-parts":[["2011"]]},"title":"Spatial and temporal variation in population genetic structure of wild Nile tilapia (Oreochromis niloticus) across Africa","type":"article-journal","volume":"12"},"uris":["http://www.mendeley.com/documents/?uuid=e475ece4-b228-4695-8255-adf322de4865"]},{"id":"ITEM-2","itemData":{"DOI":"10.1007/s10592-017-0948-4","ISBN":"0123456789","ISSN":"15729737","abstract":"Reintroductions—captive-born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Genetics","id":"ITEM-2","issue":"5","issued":{"date-parts":[["2017"]]},"page":"995-1009","publisher":"Springer Netherlands","title":"Temporal genetic dynamics of reintroduced and translocated populations of the endangered golden lion tamarin (Leontopithecus rosalia)","type":"article-journal","volume":"18"},"uris":["http://www.mendeley.com/documents/?uuid=7d71e0a9-3eb2-45a3-aeeb-a97eab5c25bd"]},{"id":"ITEM-3","itemData":{"DOI":"10.1111/mec.13424","ISSN":"1365294X","abstract":"Extinction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Ecology","id":"ITEM-3","issue":"22","issued":{"date-parts":[["2015"]]},"page":"5544-5560","title":"Temporal genetic analysis of the endangered tidewater goby: Extinction-colonization dynamics or drift in isolation?","type":"article-journal","volume":"24"},"uris":["http://www.mendeley.com/documents/?uuid=94170e91-385b-4397-a362-e735e6da69fe"]}],"mendeley":{"formattedCitation":"(Bezault et al. 2011; Kinziger et al. 2015; Moraes et al. 2017)","manualFormatting":"(e.g., Bezault et al. 2011; Kinziger et al. 2015; Moraes et al. 2017)","plainTextFormattedCitation":"(Bezault et al. 2011; Kinziger et al. 2015; Moraes et al. 2017)","previouslyFormattedCitation":"(Bezault et al. 2011; Kinziger et al. 2015; Moraes et al. 2017)"},"properties":{"noteIndex":0},"schema":"https://github.com/citation-style-language/schema/raw/master/csl-citation.json"}</w:instrText>
      </w:r>
      <w:r>
        <w:rPr>
          <w:lang w:val="en-CA"/>
        </w:rPr>
        <w:fldChar w:fldCharType="separate"/>
      </w:r>
      <w:r w:rsidRPr="0097173B">
        <w:rPr>
          <w:noProof/>
          <w:lang w:val="en-CA"/>
        </w:rPr>
        <w:t>(</w:t>
      </w:r>
      <w:r>
        <w:rPr>
          <w:noProof/>
          <w:lang w:val="en-CA"/>
        </w:rPr>
        <w:t xml:space="preserve">e.g., </w:t>
      </w:r>
      <w:r w:rsidRPr="0097173B">
        <w:rPr>
          <w:noProof/>
          <w:lang w:val="en-CA"/>
        </w:rPr>
        <w:t>Bezault et al. 2011; Kinziger et al. 2015; Moraes et al. 2017)</w:t>
      </w:r>
      <w:r>
        <w:rPr>
          <w:lang w:val="en-CA"/>
        </w:rPr>
        <w:fldChar w:fldCharType="end"/>
      </w:r>
      <w:r w:rsidRPr="00BD14BD">
        <w:rPr>
          <w:lang w:val="en-CA"/>
        </w:rPr>
        <w:t xml:space="preserve"> and most long-term ecological research programs monitor at a shorter time interval</w:t>
      </w:r>
      <w:r>
        <w:rPr>
          <w:lang w:val="en-CA"/>
        </w:rPr>
        <w:t xml:space="preserve"> (e.g., </w:t>
      </w:r>
      <w:r>
        <w:rPr>
          <w:lang w:val="en-CA"/>
        </w:rPr>
        <w:fldChar w:fldCharType="begin" w:fldLock="1"/>
      </w:r>
      <w:r>
        <w:rPr>
          <w:lang w:val="en-CA"/>
        </w:rPr>
        <w:instrText>ADDIN CSL_CITATION {"citationItems":[{"id":"ITEM-1","itemData":{"DOI":"10.1016/j.ecolind.2015.08.008","ISSN":"1470160X","abstract":"Long-term monitoring datasets provide a solid framework for ecological research. Such a dataset from the German long-term ecological research (LTER) site Rhine-Main-Observatory was used to set up a species distribution model (SDM) for the Kinzig catchment. The extensive knowledge on the monitoring data provided by the LTER-site framework allowed to calibrate a robust model for 175 taxa of stream macroinvertebrates and to project their distributions on the Kinzig River stream network using bioclimatic, topographical, hydrological, land use and geological predictors. On average, model performance was good, with a TSS of 0.83 (±0.09 SD) and a ROC of 0.95 (±0.03 SD). The model delivered valuable insights on three sources of bias that plague SDMs in general: (a) level of taxonomic identification of the modeled organisms, (b) the spatial arrangement of sampling sites, and (c) the sampling intensity at each sampling site. Taxonomic resolution did not affect SDM performance. The distribution of high predicted probabilities of occurrence in the stream network coincided with those segments in the stream network most densely and frequently sampled, indicating both a spatial and temporal sampling bias. Species richness curves confirmed the temporal sampling bias. Next to spatial bias, sampling frequency also plays an important role in data collection, affecting further analysis and modeling procedures. Results indicate an underrepresentation of low order streams, an important aspect that should be addressed by both monitoring schemes and modeling approaches.","author":[{"dropping-particle":"","family":"Kuemmerlen","given":"Mathias","non-dropping-particle":"","parse-names":false,"suffix":""},{"dropping-particle":"","family":"Stoll","given":"Stefan","non-dropping-particle":"","parse-names":false,"suffix":""},{"dropping-particle":"","family":"Sundermann","given":"Andrea","non-dropping-particle":"","parse-names":false,"suffix":""},{"dropping-particle":"","family":"Haase","given":"Peter","non-dropping-particle":"","parse-names":false,"suffix":""}],"container-title":"Ecological Indicators","id":"ITEM-1","issued":{"date-parts":[["2016"]]},"page":"122-132","publisher":"Elsevier Ltd","title":"Long-term monitoring data meet freshwater species distribution models: Lessons from an LTER-site","type":"article-journal","volume":"65"},"uris":["http://www.mendeley.com/documents/?uuid=d7f2e378-365a-4497-ad64-5d19283c5f37"]},{"id":"ITEM-2","itemData":{"DOI":"10.1641/0006-3568(2003)053[0021:TULTER]2.0.CO;2","ISSN":"00063568","abstract":"The 24 projects of the National Science Foundation's Long Term Ecological Research Network, whose sites range from the poles to the Tropics, from rain forests to tundras and deserts, and from offshore marine to estuarine and freshwater habitats, address fundamental and applied ecological issues that can be understood only through a long-term approach. Each project addresses different ecological questions; even the scale of research differs across sites. Projects in the network are linked by the requirement for some research at each site on five core areas, including primary production, decomposition, and trophic dynamics, and by cross-site comparisons, which are aided by the universally available databases. Many species and environmental variables are studied, and a wide range of synthetic results have been generated.","author":[{"dropping-particle":"","family":"Hobbie","given":"John E.","non-dropping-particle":"","parse-names":false,"suffix":""},{"dropping-particle":"","family":"Carpenter","given":"Stephen R.","non-dropping-particle":"","parse-names":false,"suffix":""},{"dropping-particle":"","family":"Grimm","given":"Nancy B.","non-dropping-particle":"","parse-names":false,"suffix":""},{"dropping-particle":"","family":"Gosz","given":"James R.","non-dropping-particle":"","parse-names":false,"suffix":""},{"dropping-particle":"","family":"Seastedt","given":"Timothy R.","non-dropping-particle":"","parse-names":false,"suffix":""}],"container-title":"BioScience","id":"ITEM-2","issue":"1","issued":{"date-parts":[["2003"]]},"page":"21-32","title":"The US Long Term Ecological Research program","type":"article-journal","volume":"53"},"uris":["http://www.mendeley.com/documents/?uuid=2b9b5e2d-e192-4aa3-8df0-d4f8dbec720d"]},{"id":"ITEM-3","itemData":{"DOI":"10.1525/bio.2012.62.4.9","ISSN":"00063568","abstract":"The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 2012 by American Institute of Biological Sciences. All rights reserved.","author":[{"dropping-particle":"","family":"Knapp","given":"Alan K.","non-dropping-particle":"","parse-names":false,"suffix":""},{"dropping-particle":"","family":"Smith","given":"Melinda D.","non-dropping-particle":"","parse-names":false,"suffix":""},{"dropping-particle":"","family":"Hobbie","given":"Sarah E.","non-dropping-particle":"","parse-names":false,"suffix":""},{"dropping-particle":"","family":"Collins","given":"Scott L.","non-dropping-particle":"","parse-names":false,"suffix":""},{"dropping-particle":"","family":"Fahey","given":"Timothy J.","non-dropping-particle":"","parse-names":false,"suffix":""},{"dropping-particle":"","family":"Hansen","given":"Gretchen J.A.","non-dropping-particle":"","parse-names":false,"suffix":""},{"dropping-particle":"","family":"Landis","given":"Douglas A.","non-dropping-particle":"","parse-names":false,"suffix":""},{"dropping-particle":"","family":"Pierre","given":"Kimberly J.La","non-dropping-particle":"","parse-names":false,"suffix":""},{"dropping-particle":"","family":"Melillo","given":"Jerry M.","non-dropping-particle":"","parse-names":false,"suffix":""},{"dropping-particle":"","family":"Seastedt","given":"Timothy R.","non-dropping-particle":"","parse-names":false,"suffix":""},{"dropping-particle":"","family":"Shaver","given":"Gaius R.","non-dropping-particle":"","parse-names":false,"suffix":""},{"dropping-particle":"","family":"Webster","given":"Jackson R.","non-dropping-particle":"","parse-names":false,"suffix":""}],"container-title":"BioScience","id":"ITEM-3","issue":"4","issued":{"date-parts":[["2012"]]},"page":"377-389","title":"Past, present, and future roles of long-term experiments in the LTER network","type":"article-journal","volume":"62"},"uris":["http://www.mendeley.com/documents/?uuid=f8480ee4-b644-4edb-a827-550128ce3bab"]}],"mendeley":{"formattedCitation":"(Hobbie et al. 2003; Knapp et al. 2012; Kuemmerlen et al. 2016)","manualFormatting":"Hobbie et al. 2003; Knapp et al. 2012; Kuemmerlen et al. 2016)","plainTextFormattedCitation":"(Hobbie et al. 2003; Knapp et al. 2012; Kuemmerlen et al. 2016)","previouslyFormattedCitation":"(Hobbie et al. 2003; Knapp et al. 2012; Kuemmerlen et al. 2016)"},"properties":{"noteIndex":0},"schema":"https://github.com/citation-style-language/schema/raw/master/csl-citation.json"}</w:instrText>
      </w:r>
      <w:r>
        <w:rPr>
          <w:lang w:val="en-CA"/>
        </w:rPr>
        <w:fldChar w:fldCharType="separate"/>
      </w:r>
      <w:r w:rsidRPr="000E77D9">
        <w:rPr>
          <w:noProof/>
          <w:lang w:val="en-CA"/>
        </w:rPr>
        <w:t>Hobbie et al. 2003; Knapp et al. 2012; Kuemmerlen et al. 2016)</w:t>
      </w:r>
      <w:r>
        <w:rPr>
          <w:lang w:val="en-CA"/>
        </w:rPr>
        <w:fldChar w:fldCharType="end"/>
      </w:r>
      <w:r w:rsidRPr="00BD14BD">
        <w:rPr>
          <w:lang w:val="en-CA"/>
        </w:rPr>
        <w:t xml:space="preserve">. Comparisons between TGI results were based on the FPR and FNR calculated at a significance threshold of </w:t>
      </w:r>
      <w:r w:rsidRPr="00BD14BD">
        <w:rPr>
          <w:i/>
          <w:iCs/>
          <w:lang w:val="en-CA"/>
        </w:rPr>
        <w:t>p</w:t>
      </w:r>
      <w:r w:rsidRPr="00BD14BD">
        <w:rPr>
          <w:lang w:val="en-CA"/>
        </w:rPr>
        <w:t xml:space="preserve"> ≤ 0.05, as this threshold was a good compromise between different performance metrics</w:t>
      </w:r>
      <w:r>
        <w:rPr>
          <w:lang w:val="en-CA"/>
        </w:rPr>
        <w:t xml:space="preserve"> as indicated by the results to the trade-off analysis described above</w:t>
      </w:r>
      <w:r w:rsidRPr="00BD14BD">
        <w:rPr>
          <w:lang w:val="en-CA"/>
        </w:rPr>
        <w:t>.</w:t>
      </w:r>
    </w:p>
    <w:p w14:paraId="2201EEAA" w14:textId="77777777" w:rsidR="008D3B5A" w:rsidRPr="00BD14BD" w:rsidRDefault="008D3B5A" w:rsidP="004775A3">
      <w:pPr>
        <w:pStyle w:val="Heading4"/>
        <w:spacing w:line="480" w:lineRule="auto"/>
        <w:rPr>
          <w:lang w:val="en-CA"/>
        </w:rPr>
      </w:pPr>
      <w:bookmarkStart w:id="21" w:name="_Toc79591399"/>
      <w:bookmarkStart w:id="22" w:name="_Toc81356474"/>
      <w:r w:rsidRPr="00BD14BD">
        <w:rPr>
          <w:lang w:val="en-CA"/>
        </w:rPr>
        <w:t>2.8. Controls</w:t>
      </w:r>
      <w:bookmarkEnd w:id="21"/>
      <w:bookmarkEnd w:id="22"/>
      <w:r w:rsidRPr="00BD14BD">
        <w:rPr>
          <w:lang w:val="en-CA"/>
        </w:rPr>
        <w:t xml:space="preserve"> </w:t>
      </w:r>
    </w:p>
    <w:p w14:paraId="3F2DAC9A" w14:textId="5CB83D87" w:rsidR="008D3B5A" w:rsidRPr="00BD14BD" w:rsidRDefault="008D3B5A" w:rsidP="004775A3">
      <w:pPr>
        <w:spacing w:line="480" w:lineRule="auto"/>
        <w:rPr>
          <w:lang w:val="en-CA"/>
        </w:rPr>
      </w:pPr>
      <w:r w:rsidRPr="00BD14BD">
        <w:rPr>
          <w:lang w:val="en-CA"/>
        </w:rPr>
        <w:t>Control simulations were run in which populations were only affected by local gene flow, drift, and mutation. No demographic events were included. Dispersal was the only parameter that varied among the control simulations, resulting in three control scenarios (</w:t>
      </w:r>
      <w:r w:rsidRPr="00100F23">
        <w:rPr>
          <w:lang w:val="en-CA"/>
        </w:rPr>
        <w:fldChar w:fldCharType="begin"/>
      </w:r>
      <w:r w:rsidRPr="00100F23">
        <w:rPr>
          <w:lang w:val="en-CA"/>
        </w:rPr>
        <w:instrText xml:space="preserve"> REF _Ref81345150 \h  \* MERGEFORMAT </w:instrText>
      </w:r>
      <w:r w:rsidRPr="00100F23">
        <w:rPr>
          <w:lang w:val="en-CA"/>
        </w:rPr>
      </w:r>
      <w:r w:rsidRPr="00100F23">
        <w:rPr>
          <w:lang w:val="en-CA"/>
        </w:rPr>
        <w:fldChar w:fldCharType="separate"/>
      </w:r>
      <w:r w:rsidRPr="0061570B">
        <w:rPr>
          <w:b/>
          <w:bCs w:val="0"/>
          <w:szCs w:val="24"/>
          <w:lang w:val="en-GB"/>
        </w:rPr>
        <w:t>Table 2</w:t>
      </w:r>
      <w:r w:rsidRPr="00100F23">
        <w:rPr>
          <w:lang w:val="en-CA"/>
        </w:rPr>
        <w:fldChar w:fldCharType="end"/>
      </w:r>
      <w:r w:rsidRPr="00BD14BD">
        <w:rPr>
          <w:lang w:val="en-CA"/>
        </w:rPr>
        <w:t xml:space="preserve">). We only evaluated the </w:t>
      </w:r>
      <w:r w:rsidRPr="00BD14BD">
        <w:rPr>
          <w:iCs/>
          <w:lang w:val="en-CA"/>
        </w:rPr>
        <w:t>FPR</w:t>
      </w:r>
      <w:r w:rsidRPr="00BD14BD">
        <w:rPr>
          <w:lang w:val="en-CA"/>
        </w:rPr>
        <w:t xml:space="preserve"> of these control scenarios; because there were no true positives or false negatives for populations affected by the demographic event, the FNR was always equal to 0. The performance of experimental scenarios was always compared to the control scenario with the same dispersal capacity.</w:t>
      </w:r>
    </w:p>
    <w:p w14:paraId="5643564D" w14:textId="77777777" w:rsidR="008D3B5A" w:rsidRPr="00BD14BD" w:rsidRDefault="008D3B5A" w:rsidP="004775A3">
      <w:pPr>
        <w:pStyle w:val="Heading4"/>
        <w:spacing w:line="480" w:lineRule="auto"/>
        <w:rPr>
          <w:lang w:val="en-CA"/>
        </w:rPr>
      </w:pPr>
      <w:bookmarkStart w:id="23" w:name="_Toc79591400"/>
      <w:bookmarkStart w:id="24" w:name="_Toc81356475"/>
      <w:r w:rsidRPr="00BD14BD">
        <w:rPr>
          <w:lang w:val="en-CA"/>
        </w:rPr>
        <w:t>2.9. Software</w:t>
      </w:r>
      <w:bookmarkEnd w:id="23"/>
      <w:bookmarkEnd w:id="24"/>
    </w:p>
    <w:p w14:paraId="7052B750" w14:textId="2EF7EA27" w:rsidR="008D3B5A" w:rsidRPr="00BD14BD" w:rsidRDefault="008D3B5A" w:rsidP="004775A3">
      <w:pPr>
        <w:spacing w:line="480" w:lineRule="auto"/>
        <w:rPr>
          <w:lang w:val="en-CA"/>
        </w:rPr>
      </w:pPr>
      <w:proofErr w:type="spellStart"/>
      <w:r w:rsidRPr="00BD14BD">
        <w:rPr>
          <w:i/>
          <w:lang w:val="en-CA"/>
        </w:rPr>
        <w:t>CDMetaPOP</w:t>
      </w:r>
      <w:proofErr w:type="spellEnd"/>
      <w:r w:rsidRPr="00BD14BD">
        <w:rPr>
          <w:lang w:val="en-CA"/>
        </w:rPr>
        <w:t xml:space="preserve"> runs on </w:t>
      </w:r>
      <w:r w:rsidRPr="00BD14BD">
        <w:rPr>
          <w:i/>
          <w:lang w:val="en-CA"/>
        </w:rPr>
        <w:t>Python 2.7</w:t>
      </w:r>
      <w:r w:rsidRPr="00BD14BD">
        <w:rPr>
          <w:lang w:val="en-CA"/>
        </w:rPr>
        <w:t xml:space="preserve"> </w:t>
      </w:r>
      <w:r w:rsidRPr="00BD14BD">
        <w:rPr>
          <w:lang w:val="en-CA"/>
        </w:rPr>
        <w:fldChar w:fldCharType="begin" w:fldLock="1"/>
      </w:r>
      <w:r>
        <w:rPr>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demogenetics","type":"article-journal","volume":"8"},"uris":["http://www.mendeley.com/documents/?uuid=9e136494-ea58-4e87-8b0b-05976e46a8ac"]}],"mendeley":{"formattedCitation":"(Landguth et al. 2017a)","plainTextFormattedCitation":"(Landguth et al. 2017a)","previouslyFormattedCitation":"(Landguth et al. 2017a)"},"properties":{"noteIndex":0},"schema":"https://github.com/citation-style-language/schema/raw/master/csl-citation.json"}</w:instrText>
      </w:r>
      <w:r w:rsidRPr="00BD14BD">
        <w:rPr>
          <w:lang w:val="en-CA"/>
        </w:rPr>
        <w:fldChar w:fldCharType="separate"/>
      </w:r>
      <w:r w:rsidRPr="00BD14BD">
        <w:rPr>
          <w:noProof/>
          <w:lang w:val="en-CA"/>
        </w:rPr>
        <w:t>(Landguth et al. 2017a)</w:t>
      </w:r>
      <w:r w:rsidRPr="00BD14BD">
        <w:rPr>
          <w:lang w:val="en-CA"/>
        </w:rPr>
        <w:fldChar w:fldCharType="end"/>
      </w:r>
      <w:r w:rsidRPr="00BD14BD">
        <w:rPr>
          <w:lang w:val="en-CA"/>
        </w:rPr>
        <w:t xml:space="preserve">. We used the </w:t>
      </w:r>
      <w:r w:rsidRPr="00BD14BD">
        <w:rPr>
          <w:i/>
          <w:lang w:val="en-CA"/>
        </w:rPr>
        <w:t>R</w:t>
      </w:r>
      <w:r w:rsidRPr="00BD14BD">
        <w:rPr>
          <w:lang w:val="en-CA"/>
        </w:rPr>
        <w:t xml:space="preserve"> software </w:t>
      </w:r>
      <w:r w:rsidRPr="00BD14BD">
        <w:rPr>
          <w:lang w:val="en-CA"/>
        </w:rPr>
        <w:fldChar w:fldCharType="begin" w:fldLock="1"/>
      </w:r>
      <w:r w:rsidRPr="00BD14BD">
        <w:rPr>
          <w:lang w:val="en-CA"/>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Pr="00BD14BD">
        <w:rPr>
          <w:lang w:val="en-CA"/>
        </w:rPr>
        <w:fldChar w:fldCharType="separate"/>
      </w:r>
      <w:r w:rsidRPr="00BD14BD">
        <w:rPr>
          <w:noProof/>
          <w:lang w:val="en-CA"/>
        </w:rPr>
        <w:t>(R Core Team 2019)</w:t>
      </w:r>
      <w:r w:rsidRPr="00BD14BD">
        <w:rPr>
          <w:lang w:val="en-CA"/>
        </w:rPr>
        <w:fldChar w:fldCharType="end"/>
      </w:r>
      <w:r w:rsidRPr="00BD14BD">
        <w:rPr>
          <w:lang w:val="en-CA"/>
        </w:rPr>
        <w:t xml:space="preserve"> in the </w:t>
      </w:r>
      <w:r w:rsidRPr="00BD14BD">
        <w:rPr>
          <w:i/>
          <w:lang w:val="en-CA"/>
        </w:rPr>
        <w:t>RStudio</w:t>
      </w:r>
      <w:r w:rsidRPr="00BD14BD">
        <w:rPr>
          <w:lang w:val="en-CA"/>
        </w:rPr>
        <w:t xml:space="preserve"> IDE </w:t>
      </w:r>
      <w:r w:rsidRPr="00BD14BD">
        <w:rPr>
          <w:lang w:val="en-CA"/>
        </w:rPr>
        <w:fldChar w:fldCharType="begin" w:fldLock="1"/>
      </w:r>
      <w:r w:rsidRPr="00BD14BD">
        <w:rPr>
          <w:lang w:val="en-CA"/>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Pr="00BD14BD">
        <w:rPr>
          <w:lang w:val="en-CA"/>
        </w:rPr>
        <w:fldChar w:fldCharType="separate"/>
      </w:r>
      <w:r w:rsidRPr="00BD14BD">
        <w:rPr>
          <w:noProof/>
          <w:lang w:val="en-CA"/>
        </w:rPr>
        <w:t>(RStudio Team 2018)</w:t>
      </w:r>
      <w:r w:rsidRPr="00BD14BD">
        <w:rPr>
          <w:lang w:val="en-CA"/>
        </w:rPr>
        <w:fldChar w:fldCharType="end"/>
      </w:r>
      <w:r w:rsidRPr="00BD14BD">
        <w:rPr>
          <w:lang w:val="en-CA"/>
        </w:rPr>
        <w:t xml:space="preserve"> for all analyses and illustrations. We </w:t>
      </w:r>
      <w:r w:rsidRPr="00BD14BD">
        <w:rPr>
          <w:lang w:val="en-CA"/>
        </w:rPr>
        <w:lastRenderedPageBreak/>
        <w:t xml:space="preserve">used the </w:t>
      </w:r>
      <w:proofErr w:type="spellStart"/>
      <w:r w:rsidRPr="00BD14BD">
        <w:rPr>
          <w:i/>
          <w:lang w:val="en-CA"/>
        </w:rPr>
        <w:t>adegenet</w:t>
      </w:r>
      <w:proofErr w:type="spellEnd"/>
      <w:r w:rsidRPr="00BD14BD">
        <w:rPr>
          <w:i/>
          <w:lang w:val="en-CA"/>
        </w:rPr>
        <w:t xml:space="preserve"> </w:t>
      </w:r>
      <w:r w:rsidRPr="00BD14BD">
        <w:rPr>
          <w:i/>
          <w:lang w:val="en-CA"/>
        </w:rPr>
        <w:fldChar w:fldCharType="begin" w:fldLock="1"/>
      </w:r>
      <w:r w:rsidRPr="00BD14BD">
        <w:rPr>
          <w:i/>
          <w:lang w:val="en-CA"/>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Pr="00BD14BD">
        <w:rPr>
          <w:i/>
          <w:lang w:val="en-CA"/>
        </w:rPr>
        <w:fldChar w:fldCharType="separate"/>
      </w:r>
      <w:r w:rsidRPr="00BD14BD">
        <w:rPr>
          <w:noProof/>
          <w:lang w:val="en-CA"/>
        </w:rPr>
        <w:t>(Jombart 2008; Jombart &amp; Ahmed 2011)</w:t>
      </w:r>
      <w:r w:rsidRPr="00BD14BD">
        <w:rPr>
          <w:i/>
          <w:lang w:val="en-CA"/>
        </w:rPr>
        <w:fldChar w:fldCharType="end"/>
      </w:r>
      <w:r w:rsidRPr="00BD14BD">
        <w:rPr>
          <w:lang w:val="en-CA"/>
        </w:rPr>
        <w:t xml:space="preserve">, </w:t>
      </w:r>
      <w:proofErr w:type="spellStart"/>
      <w:r w:rsidRPr="00BD14BD">
        <w:rPr>
          <w:i/>
          <w:lang w:val="en-CA"/>
        </w:rPr>
        <w:t>pegas</w:t>
      </w:r>
      <w:proofErr w:type="spellEnd"/>
      <w:r w:rsidRPr="00BD14BD">
        <w:rPr>
          <w:i/>
          <w:lang w:val="en-CA"/>
        </w:rPr>
        <w:t xml:space="preserve"> </w:t>
      </w:r>
      <w:r w:rsidRPr="00BD14BD">
        <w:rPr>
          <w:i/>
          <w:lang w:val="en-CA"/>
        </w:rPr>
        <w:fldChar w:fldCharType="begin" w:fldLock="1"/>
      </w:r>
      <w:r w:rsidRPr="00BD14BD">
        <w:rPr>
          <w:i/>
          <w:lang w:val="en-CA"/>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Pr="00BD14BD">
        <w:rPr>
          <w:i/>
          <w:lang w:val="en-CA"/>
        </w:rPr>
        <w:fldChar w:fldCharType="separate"/>
      </w:r>
      <w:r w:rsidRPr="00BD14BD">
        <w:rPr>
          <w:noProof/>
          <w:lang w:val="en-CA"/>
        </w:rPr>
        <w:t>(Paradis 2010)</w:t>
      </w:r>
      <w:r w:rsidRPr="00BD14BD">
        <w:rPr>
          <w:i/>
          <w:lang w:val="en-CA"/>
        </w:rPr>
        <w:fldChar w:fldCharType="end"/>
      </w:r>
      <w:r w:rsidRPr="00BD14BD">
        <w:rPr>
          <w:lang w:val="en-CA"/>
        </w:rPr>
        <w:t xml:space="preserve">, </w:t>
      </w:r>
      <w:proofErr w:type="spellStart"/>
      <w:r w:rsidRPr="00BD14BD">
        <w:rPr>
          <w:i/>
          <w:lang w:val="en-CA"/>
        </w:rPr>
        <w:t>poppr</w:t>
      </w:r>
      <w:proofErr w:type="spellEnd"/>
      <w:r w:rsidRPr="00BD14BD">
        <w:rPr>
          <w:lang w:val="en-CA"/>
        </w:rPr>
        <w:t xml:space="preserve"> </w:t>
      </w:r>
      <w:r w:rsidRPr="00BD14BD">
        <w:rPr>
          <w:lang w:val="en-CA"/>
        </w:rPr>
        <w:fldChar w:fldCharType="begin" w:fldLock="1"/>
      </w:r>
      <w:r w:rsidRPr="00BD14BD">
        <w:rPr>
          <w:lang w:val="en-CA"/>
        </w:rPr>
        <w:instrText>ADDIN CSL_CITATION {"citationItems":[{"id":"ITEM-1","itemData":{"DOI":"10.7717/peerj.281","ISSN":"21678359","abstract":"Many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al.","author":[{"dropping-particle":"","family":"Kamvar","given":"Zhian N.","non-dropping-particle":"","parse-names":false,"suffix":""},{"dropping-particle":"","family":"Tabima","given":"Javier F.","non-dropping-particle":"","parse-names":false,"suffix":""},{"dropping-particle":"","family":"Gr̈unwald","given":"Niklaus J.","non-dropping-particle":"","parse-names":false,"suffix":""}],"container-title":"PeerJ","id":"ITEM-1","issue":"1","issued":{"date-parts":[["2014"]]},"page":"1-14","title":"Poppr: An R package for genetic analysis of populations with clonal, partially clonal, and/or sexual reproduction","type":"article-journal","volume":"2014"},"uris":["http://www.mendeley.com/documents/?uuid=07092330-be88-45a2-9b7b-6848ff599e13"]},{"id":"ITEM-2","itemData":{"DOI":"10.3389/fgene.2015.00208","ISSN":"16648021","abstract":"To gain a detailed understanding of how plant microbes evolve and adapt to hosts, pesticides, and other factors, knowledge of the population dynamics and evolutionary history of populations is crucial. Plant pathogen populations are often clonal or partially clonal which requires different analytical tools. With the advent of high throughput sequencing technologies, obtaining genome-wide population genetic data has become easier than ever before. We previously contributed the R package poppr specifically addressing issues with analysis of clonal populations. In this paper we provide several significant extensions to poppr with a focus on large, genome-wide SNP data. Specifically, we provide several new functionalities including the new function mlg.filter to define clone boundaries allowing for inspection and definition of what is a clonal lineage, minimum spanning networks with reticulation, a sliding-window analysis of the index of association, modular bootstrapping of any genetic distance, and analyses across any level of hierarchies.","author":[{"dropping-particle":"","family":"Kamvar","given":"Zhian N.","non-dropping-particle":"","parse-names":false,"suffix":""},{"dropping-particle":"","family":"Brooks","given":"Jonah C.","non-dropping-particle":"","parse-names":false,"suffix":""},{"dropping-particle":"","family":"Grünwald","given":"Niklaus J.","non-dropping-particle":"","parse-names":false,"suffix":""}],"container-title":"Frontiers in Genetics","id":"ITEM-2","issued":{"date-parts":[["2015"]]},"page":"208","title":"Novel R tools for analysis of genome-wide population genetic data with emphasis on clonality","type":"article-journal","volume":"6"},"uris":["http://www.mendeley.com/documents/?uuid=b8c0397a-7640-4639-8d1d-3e032ec6fbd0"]}],"mendeley":{"formattedCitation":"(Kamvar et al. 2014, 2015)","plainTextFormattedCitation":"(Kamvar et al. 2014, 2015)","previouslyFormattedCitation":"(Kamvar et al. 2014, 2015)"},"properties":{"noteIndex":0},"schema":"https://github.com/citation-style-language/schema/raw/master/csl-citation.json"}</w:instrText>
      </w:r>
      <w:r w:rsidRPr="00BD14BD">
        <w:rPr>
          <w:lang w:val="en-CA"/>
        </w:rPr>
        <w:fldChar w:fldCharType="separate"/>
      </w:r>
      <w:r w:rsidRPr="00BD14BD">
        <w:rPr>
          <w:noProof/>
          <w:lang w:val="en-CA"/>
        </w:rPr>
        <w:t>(Kamvar et al. 2014, 2015)</w:t>
      </w:r>
      <w:r w:rsidRPr="00BD14BD">
        <w:rPr>
          <w:lang w:val="en-CA"/>
        </w:rPr>
        <w:fldChar w:fldCharType="end"/>
      </w:r>
      <w:r w:rsidRPr="00BD14BD">
        <w:rPr>
          <w:lang w:val="en-CA"/>
        </w:rPr>
        <w:t xml:space="preserve"> and </w:t>
      </w:r>
      <w:proofErr w:type="spellStart"/>
      <w:r w:rsidRPr="00BD14BD">
        <w:rPr>
          <w:i/>
          <w:lang w:val="en-CA"/>
        </w:rPr>
        <w:t>adespatial</w:t>
      </w:r>
      <w:proofErr w:type="spellEnd"/>
      <w:r w:rsidRPr="00BD14BD">
        <w:rPr>
          <w:lang w:val="en-CA"/>
        </w:rPr>
        <w:t xml:space="preserve"> </w:t>
      </w:r>
      <w:r w:rsidRPr="00BD14BD">
        <w:rPr>
          <w:lang w:val="en-CA"/>
        </w:rPr>
        <w:fldChar w:fldCharType="begin" w:fldLock="1"/>
      </w:r>
      <w:r w:rsidRPr="00BD14BD">
        <w:rPr>
          <w:lang w:val="en-CA"/>
        </w:rPr>
        <w:instrText>ADDIN CSL_CITATION {"citationItems":[{"id":"ITEM-1","itemData":{"author":[{"dropping-particle":"","family":"Dray","given":"Stéphane","non-dropping-particle":"","parse-names":false,"suffix":""},{"dropping-particle":"","family":"Bauman","given":"David","non-dropping-particle":"","parse-names":false,"suffix":""},{"dropping-particle":"","family":"Blanchet","given":"F. 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Pr="00BD14BD">
        <w:rPr>
          <w:lang w:val="en-CA"/>
        </w:rPr>
        <w:fldChar w:fldCharType="separate"/>
      </w:r>
      <w:r w:rsidRPr="00BD14BD">
        <w:rPr>
          <w:noProof/>
          <w:lang w:val="en-CA"/>
        </w:rPr>
        <w:t>(Dray et al. 2019)</w:t>
      </w:r>
      <w:r w:rsidRPr="00BD14BD">
        <w:rPr>
          <w:lang w:val="en-CA"/>
        </w:rPr>
        <w:fldChar w:fldCharType="end"/>
      </w:r>
      <w:r w:rsidRPr="00BD14BD">
        <w:rPr>
          <w:lang w:val="en-CA"/>
        </w:rPr>
        <w:t xml:space="preserve"> </w:t>
      </w:r>
      <w:r w:rsidRPr="00BD14BD">
        <w:rPr>
          <w:i/>
          <w:lang w:val="en-CA"/>
        </w:rPr>
        <w:t>R</w:t>
      </w:r>
      <w:r w:rsidRPr="00BD14BD">
        <w:rPr>
          <w:lang w:val="en-CA"/>
        </w:rPr>
        <w:t xml:space="preserve"> packages for calculations. Our </w:t>
      </w:r>
      <w:r w:rsidRPr="00BD14BD">
        <w:rPr>
          <w:i/>
          <w:lang w:val="en-CA"/>
        </w:rPr>
        <w:t xml:space="preserve">TGI </w:t>
      </w:r>
      <w:r w:rsidRPr="00BD14BD">
        <w:rPr>
          <w:lang w:val="en-CA"/>
        </w:rPr>
        <w:t xml:space="preserve">function is available in the </w:t>
      </w:r>
      <w:r>
        <w:rPr>
          <w:lang w:val="en-CA"/>
        </w:rPr>
        <w:t>supplementary material (</w:t>
      </w:r>
      <w:r w:rsidRPr="00100F23">
        <w:rPr>
          <w:lang w:val="en-CA"/>
        </w:rPr>
        <w:fldChar w:fldCharType="begin"/>
      </w:r>
      <w:r w:rsidRPr="00100F23">
        <w:rPr>
          <w:lang w:val="en-CA"/>
        </w:rPr>
        <w:instrText xml:space="preserve"> REF _Ref81345071 \h  \* MERGEFORMAT </w:instrText>
      </w:r>
      <w:r w:rsidRPr="00100F23">
        <w:rPr>
          <w:lang w:val="en-CA"/>
        </w:rPr>
      </w:r>
      <w:r w:rsidRPr="00100F23">
        <w:rPr>
          <w:lang w:val="en-CA"/>
        </w:rPr>
        <w:fldChar w:fldCharType="separate"/>
      </w:r>
      <w:r w:rsidRPr="0061570B">
        <w:rPr>
          <w:b/>
          <w:bCs w:val="0"/>
          <w:szCs w:val="24"/>
          <w:lang w:val="en-GB"/>
        </w:rPr>
        <w:t>Supp. Mat. 2</w:t>
      </w:r>
      <w:r w:rsidRPr="00100F23">
        <w:rPr>
          <w:lang w:val="en-CA"/>
        </w:rPr>
        <w:fldChar w:fldCharType="end"/>
      </w:r>
      <w:r w:rsidRPr="00100F23">
        <w:rPr>
          <w:lang w:val="en-CA"/>
        </w:rPr>
        <w:t>)</w:t>
      </w:r>
      <w:r w:rsidRPr="00BD14BD">
        <w:rPr>
          <w:lang w:val="en-CA"/>
        </w:rPr>
        <w:t xml:space="preserve"> as an </w:t>
      </w:r>
      <w:r w:rsidRPr="00BD14BD">
        <w:rPr>
          <w:i/>
          <w:iCs/>
          <w:lang w:val="en-CA"/>
        </w:rPr>
        <w:t xml:space="preserve">R </w:t>
      </w:r>
      <w:r w:rsidRPr="00BD14BD">
        <w:rPr>
          <w:lang w:val="en-CA"/>
        </w:rPr>
        <w:t>script. The function enables the user to choose among five different genetic distance metrics for the calculations of TGI indices via the “</w:t>
      </w:r>
      <w:r w:rsidRPr="00BD14BD">
        <w:rPr>
          <w:i/>
          <w:iCs/>
          <w:lang w:val="en-CA"/>
        </w:rPr>
        <w:t xml:space="preserve">method” </w:t>
      </w:r>
      <w:r w:rsidRPr="00BD14BD">
        <w:rPr>
          <w:lang w:val="en-CA"/>
        </w:rPr>
        <w:t>argument.</w:t>
      </w:r>
    </w:p>
    <w:p w14:paraId="304F751E" w14:textId="77777777" w:rsidR="008D3B5A" w:rsidRPr="00BD14BD" w:rsidRDefault="008D3B5A" w:rsidP="004775A3">
      <w:pPr>
        <w:pStyle w:val="Heading4"/>
        <w:spacing w:line="480" w:lineRule="auto"/>
        <w:rPr>
          <w:lang w:val="en-CA"/>
        </w:rPr>
      </w:pPr>
      <w:bookmarkStart w:id="25" w:name="_Toc79591401"/>
      <w:bookmarkStart w:id="26" w:name="_Toc81356476"/>
      <w:r w:rsidRPr="00BD14BD">
        <w:rPr>
          <w:lang w:val="en-CA"/>
        </w:rPr>
        <w:t>2.10. Applied example: an endangered fish</w:t>
      </w:r>
      <w:bookmarkEnd w:id="25"/>
      <w:bookmarkEnd w:id="26"/>
    </w:p>
    <w:p w14:paraId="734CDFE1" w14:textId="77777777" w:rsidR="008D3B5A" w:rsidRDefault="008D3B5A" w:rsidP="004775A3">
      <w:pPr>
        <w:spacing w:line="480" w:lineRule="auto"/>
        <w:rPr>
          <w:lang w:val="en-CA"/>
        </w:rPr>
      </w:pPr>
      <w:r w:rsidRPr="00BD14BD">
        <w:rPr>
          <w:lang w:val="en-CA"/>
        </w:rPr>
        <w:t xml:space="preserve">To demonstrate that our TGI measure provides valuable information about temporal change in a real system with conservation implications, we applied it to real genetic data from a study of a threatened vertebrate, the Northern tidewater goby </w:t>
      </w:r>
      <w:r w:rsidRPr="00BD14BD">
        <w:rPr>
          <w:lang w:val="en-CA"/>
        </w:rPr>
        <w:fldChar w:fldCharType="begin" w:fldLock="1"/>
      </w:r>
      <w:r w:rsidRPr="00BD14BD">
        <w:rPr>
          <w:lang w:val="en-CA"/>
        </w:rPr>
        <w:instrText>ADDIN CSL_CITATION {"citationItems":[{"id":"ITEM-1","itemData":{"DOI":"10.1111/mec.13424","ISSN":"1365294X","abstract":"Extinction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Ecology","id":"ITEM-1","issue":"22","issued":{"date-parts":[["2015"]]},"page":"5544-5560","title":"Temporal genetic analysis of the endangered tidewater goby: Extinction-colonization dynamics or drift in isolation?","type":"article-journal","volume":"24"},"uris":["http://www.mendeley.com/documents/?uuid=94170e91-385b-4397-a362-e735e6da69fe"]}],"mendeley":{"formattedCitation":"(Kinziger et al. 2015)","plainTextFormattedCitation":"(Kinziger et al. 2015)","previouslyFormattedCitation":"(Kinziger et al. 2015)"},"properties":{"noteIndex":0},"schema":"https://github.com/citation-style-language/schema/raw/master/csl-citation.json"}</w:instrText>
      </w:r>
      <w:r w:rsidRPr="00BD14BD">
        <w:rPr>
          <w:lang w:val="en-CA"/>
        </w:rPr>
        <w:fldChar w:fldCharType="separate"/>
      </w:r>
      <w:r w:rsidRPr="00BD14BD">
        <w:rPr>
          <w:noProof/>
          <w:lang w:val="en-CA"/>
        </w:rPr>
        <w:t>(Kinziger et al. 2015)</w:t>
      </w:r>
      <w:r w:rsidRPr="00BD14BD">
        <w:rPr>
          <w:lang w:val="en-CA"/>
        </w:rPr>
        <w:fldChar w:fldCharType="end"/>
      </w:r>
      <w:r w:rsidRPr="00BD14BD">
        <w:rPr>
          <w:lang w:val="en-CA"/>
        </w:rPr>
        <w:t xml:space="preserve">. We chose this example because it uses a different type of genetic data than we used for our simulations, thus demonstrating that TGI is applicable to a variety of genetic markers. In addition, the study authors suggested that one goby population had undergone more genetic change than the other, more stable local populations, allowing us to test a real hypothesis and go beyond a simple illustration of our method </w:t>
      </w:r>
      <w:r w:rsidRPr="00BD14BD">
        <w:rPr>
          <w:lang w:val="en-CA"/>
        </w:rPr>
        <w:fldChar w:fldCharType="begin" w:fldLock="1"/>
      </w:r>
      <w:r w:rsidRPr="00BD14BD">
        <w:rPr>
          <w:lang w:val="en-CA"/>
        </w:rPr>
        <w:instrText>ADDIN CSL_CITATION {"citationItems":[{"id":"ITEM-1","itemData":{"DOI":"10.1111/mec.13424","ISSN":"1365294X","abstract":"Extinction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Ecology","id":"ITEM-1","issue":"22","issued":{"date-parts":[["2015"]]},"page":"5544-5560","title":"Temporal genetic analysis of the endangered tidewater goby: Extinction-colonization dynamics or drift in isolation?","type":"article-journal","volume":"24"},"uris":["http://www.mendeley.com/documents/?uuid=94170e91-385b-4397-a362-e735e6da69fe"]}],"mendeley":{"formattedCitation":"(Kinziger et al. 2015)","plainTextFormattedCitation":"(Kinziger et al. 2015)","previouslyFormattedCitation":"(Kinziger et al. 2015)"},"properties":{"noteIndex":0},"schema":"https://github.com/citation-style-language/schema/raw/master/csl-citation.json"}</w:instrText>
      </w:r>
      <w:r w:rsidRPr="00BD14BD">
        <w:rPr>
          <w:lang w:val="en-CA"/>
        </w:rPr>
        <w:fldChar w:fldCharType="separate"/>
      </w:r>
      <w:r w:rsidRPr="00BD14BD">
        <w:rPr>
          <w:noProof/>
          <w:lang w:val="en-CA"/>
        </w:rPr>
        <w:t>(Kinziger et al. 2015)</w:t>
      </w:r>
      <w:r w:rsidRPr="00BD14BD">
        <w:rPr>
          <w:lang w:val="en-CA"/>
        </w:rPr>
        <w:fldChar w:fldCharType="end"/>
      </w:r>
      <w:r w:rsidRPr="00BD14BD">
        <w:rPr>
          <w:lang w:val="en-CA"/>
        </w:rPr>
        <w:t>. The dataset was downloaded from DRYAD (</w:t>
      </w:r>
      <w:proofErr w:type="spellStart"/>
      <w:r w:rsidRPr="00BD14BD">
        <w:rPr>
          <w:lang w:val="en-CA"/>
        </w:rPr>
        <w:t>doi</w:t>
      </w:r>
      <w:proofErr w:type="spellEnd"/>
      <w:r w:rsidRPr="00BD14BD">
        <w:rPr>
          <w:lang w:val="en-CA"/>
        </w:rPr>
        <w:t>: 10.5061/dryad.871db). Significance testing of temporal change in these data used 9,999 permutations.</w:t>
      </w:r>
    </w:p>
    <w:p w14:paraId="6735AEBA" w14:textId="77777777" w:rsidR="008D3B5A" w:rsidRPr="00BD14BD" w:rsidRDefault="008D3B5A" w:rsidP="004775A3">
      <w:pPr>
        <w:spacing w:line="480" w:lineRule="auto"/>
        <w:rPr>
          <w:lang w:val="en-CA"/>
        </w:rPr>
      </w:pPr>
    </w:p>
    <w:p w14:paraId="117CF64E" w14:textId="77777777" w:rsidR="008D3B5A" w:rsidRPr="00310630" w:rsidRDefault="008D3B5A" w:rsidP="004775A3">
      <w:pPr>
        <w:pStyle w:val="Heading3"/>
        <w:spacing w:line="480" w:lineRule="auto"/>
        <w:rPr>
          <w:lang w:val="en-GB"/>
        </w:rPr>
      </w:pPr>
      <w:bookmarkStart w:id="27" w:name="_Toc79591402"/>
      <w:bookmarkStart w:id="28" w:name="_Toc81356477"/>
      <w:r w:rsidRPr="00310630">
        <w:rPr>
          <w:lang w:val="en-GB"/>
        </w:rPr>
        <w:t>3. Results</w:t>
      </w:r>
      <w:bookmarkEnd w:id="27"/>
      <w:bookmarkEnd w:id="28"/>
    </w:p>
    <w:p w14:paraId="0201D4EC" w14:textId="77777777" w:rsidR="008D3B5A" w:rsidRPr="00BD14BD" w:rsidRDefault="008D3B5A" w:rsidP="004775A3">
      <w:pPr>
        <w:spacing w:line="480" w:lineRule="auto"/>
        <w:rPr>
          <w:lang w:val="en-CA"/>
        </w:rPr>
      </w:pPr>
      <w:r w:rsidRPr="00BD14BD">
        <w:rPr>
          <w:lang w:val="en-CA"/>
        </w:rPr>
        <w:t xml:space="preserve">We were able to translate the TBI framework to TGI by adapting it to the specific structure of genetic data. Although our results in the present section support the general efficacy of TGI </w:t>
      </w:r>
      <w:r w:rsidRPr="00BD14BD">
        <w:rPr>
          <w:lang w:val="en-CA"/>
        </w:rPr>
        <w:lastRenderedPageBreak/>
        <w:t xml:space="preserve">and warrant its use on empirical datasets, the performance of the TGI approach was sensitive to dispersal capacity, spatial extent of the demographic event producing the genetic change, and the time difference between </w:t>
      </w:r>
      <w:r>
        <w:rPr>
          <w:lang w:val="en-CA"/>
        </w:rPr>
        <w:t>surveys</w:t>
      </w:r>
      <w:r w:rsidRPr="00BD14BD">
        <w:rPr>
          <w:lang w:val="en-CA"/>
        </w:rPr>
        <w:t xml:space="preserve"> and the demographic event. </w:t>
      </w:r>
    </w:p>
    <w:p w14:paraId="1B521942" w14:textId="6FACB5F9" w:rsidR="008D3B5A" w:rsidRDefault="008D3B5A" w:rsidP="004775A3">
      <w:pPr>
        <w:spacing w:line="480" w:lineRule="auto"/>
        <w:rPr>
          <w:lang w:val="en-CA"/>
        </w:rPr>
      </w:pPr>
      <w:r w:rsidRPr="00BD14BD">
        <w:rPr>
          <w:lang w:val="en-CA"/>
        </w:rPr>
        <w:t>Experimental FPR values were consistently lower than control FPR values, regardless of dispersal parameters (</w:t>
      </w:r>
      <w:r w:rsidRPr="00100F23">
        <w:rPr>
          <w:lang w:val="en-CA"/>
        </w:rPr>
        <w:fldChar w:fldCharType="begin"/>
      </w:r>
      <w:r w:rsidRPr="00100F23">
        <w:rPr>
          <w:lang w:val="en-CA"/>
        </w:rPr>
        <w:instrText xml:space="preserve"> REF _Ref81345534 \h  \* MERGEFORMAT </w:instrText>
      </w:r>
      <w:r w:rsidRPr="00100F23">
        <w:rPr>
          <w:lang w:val="en-CA"/>
        </w:rPr>
      </w:r>
      <w:r w:rsidRPr="00100F23">
        <w:rPr>
          <w:lang w:val="en-CA"/>
        </w:rPr>
        <w:fldChar w:fldCharType="separate"/>
      </w:r>
      <w:r w:rsidRPr="0061570B">
        <w:rPr>
          <w:b/>
          <w:bCs w:val="0"/>
          <w:szCs w:val="24"/>
          <w:lang w:val="en-GB"/>
        </w:rPr>
        <w:t>Figure 2</w:t>
      </w:r>
      <w:r w:rsidRPr="00100F23">
        <w:rPr>
          <w:lang w:val="en-CA"/>
        </w:rPr>
        <w:fldChar w:fldCharType="end"/>
      </w:r>
      <w:r w:rsidRPr="00BD14BD">
        <w:rPr>
          <w:lang w:val="en-CA"/>
        </w:rPr>
        <w:t xml:space="preserve">). This suggests that when using TGI, we are </w:t>
      </w:r>
      <w:r>
        <w:rPr>
          <w:lang w:val="en-CA"/>
        </w:rPr>
        <w:t>less</w:t>
      </w:r>
      <w:r w:rsidRPr="00BD14BD">
        <w:rPr>
          <w:lang w:val="en-CA"/>
        </w:rPr>
        <w:t xml:space="preserve"> likely to </w:t>
      </w:r>
      <w:r>
        <w:rPr>
          <w:lang w:val="en-CA"/>
        </w:rPr>
        <w:t xml:space="preserve">misidentify </w:t>
      </w:r>
      <w:r w:rsidRPr="00BD14BD">
        <w:rPr>
          <w:lang w:val="en-CA"/>
        </w:rPr>
        <w:t xml:space="preserve">a </w:t>
      </w:r>
      <w:r>
        <w:rPr>
          <w:lang w:val="en-CA"/>
        </w:rPr>
        <w:t xml:space="preserve">significant genetic change in presence of an actual </w:t>
      </w:r>
      <w:r w:rsidRPr="00BD14BD">
        <w:rPr>
          <w:lang w:val="en-CA"/>
        </w:rPr>
        <w:t>demographic</w:t>
      </w:r>
      <w:r>
        <w:rPr>
          <w:lang w:val="en-CA"/>
        </w:rPr>
        <w:t>, than we are in its absence</w:t>
      </w:r>
      <w:r w:rsidRPr="00BD14BD">
        <w:rPr>
          <w:lang w:val="en-CA"/>
        </w:rPr>
        <w:t>. Among the control simulations, runs with higher dispersal capacity had a lower FPR (</w:t>
      </w:r>
      <w:r w:rsidRPr="00100F23">
        <w:rPr>
          <w:lang w:val="en-CA"/>
        </w:rPr>
        <w:fldChar w:fldCharType="begin"/>
      </w:r>
      <w:r w:rsidRPr="00100F23">
        <w:rPr>
          <w:lang w:val="en-CA"/>
        </w:rPr>
        <w:instrText xml:space="preserve"> REF _Ref81345534 \h  \* MERGEFORMAT </w:instrText>
      </w:r>
      <w:r w:rsidRPr="00100F23">
        <w:rPr>
          <w:lang w:val="en-CA"/>
        </w:rPr>
      </w:r>
      <w:r w:rsidRPr="00100F23">
        <w:rPr>
          <w:lang w:val="en-CA"/>
        </w:rPr>
        <w:fldChar w:fldCharType="separate"/>
      </w:r>
      <w:r w:rsidRPr="0061570B">
        <w:rPr>
          <w:b/>
          <w:bCs w:val="0"/>
          <w:szCs w:val="24"/>
          <w:lang w:val="en-GB"/>
        </w:rPr>
        <w:t>Figure 2</w:t>
      </w:r>
      <w:r w:rsidRPr="00100F23">
        <w:rPr>
          <w:lang w:val="en-CA"/>
        </w:rPr>
        <w:fldChar w:fldCharType="end"/>
      </w:r>
      <w:r w:rsidRPr="00BD14BD">
        <w:rPr>
          <w:lang w:val="en-CA"/>
        </w:rPr>
        <w:t>). Control FPR values were generally at least twice as high as the maximum experimental FPR values encountered (L1, M1), regardless of the significance threshold used. This means that, even for the lowest-performing scenarios in our simulations, TGI was much more effective at avoiding false positives in the presence of an event than in the absence of one.</w:t>
      </w:r>
    </w:p>
    <w:p w14:paraId="379FC34F" w14:textId="77777777" w:rsidR="008D3B5A" w:rsidRPr="00BD14BD" w:rsidRDefault="008D3B5A" w:rsidP="004775A3">
      <w:pPr>
        <w:pStyle w:val="Heading4"/>
        <w:spacing w:line="480" w:lineRule="auto"/>
        <w:rPr>
          <w:lang w:val="en-CA"/>
        </w:rPr>
      </w:pPr>
      <w:bookmarkStart w:id="29" w:name="_Toc79591403"/>
      <w:bookmarkStart w:id="30" w:name="_Toc81356478"/>
      <w:r w:rsidRPr="00BD14BD">
        <w:rPr>
          <w:lang w:val="en-CA"/>
        </w:rPr>
        <w:t>3.1. Dispersal</w:t>
      </w:r>
      <w:bookmarkEnd w:id="29"/>
      <w:bookmarkEnd w:id="30"/>
      <w:r w:rsidRPr="00BD14BD">
        <w:rPr>
          <w:lang w:val="en-CA"/>
        </w:rPr>
        <w:t xml:space="preserve"> </w:t>
      </w:r>
    </w:p>
    <w:p w14:paraId="07147F60" w14:textId="0B685BCF" w:rsidR="008D3B5A" w:rsidRDefault="008D3B5A" w:rsidP="004775A3">
      <w:pPr>
        <w:spacing w:line="480" w:lineRule="auto"/>
        <w:rPr>
          <w:lang w:val="en-CA"/>
        </w:rPr>
      </w:pPr>
      <w:r w:rsidRPr="00BD14BD">
        <w:rPr>
          <w:lang w:val="en-CA"/>
        </w:rPr>
        <w:t>Dispersal capacity influenced our ability to detect temporal changes in genetic diversity, as the FNR generally increased with dispersal capacity (</w:t>
      </w:r>
      <w:r w:rsidRPr="00100F23">
        <w:rPr>
          <w:lang w:val="en-CA"/>
        </w:rPr>
        <w:fldChar w:fldCharType="begin"/>
      </w:r>
      <w:r w:rsidRPr="00100F23">
        <w:rPr>
          <w:lang w:val="en-CA"/>
        </w:rPr>
        <w:instrText xml:space="preserve"> REF _Ref81345656 \h  \* MERGEFORMAT </w:instrText>
      </w:r>
      <w:r w:rsidRPr="00100F23">
        <w:rPr>
          <w:lang w:val="en-CA"/>
        </w:rPr>
      </w:r>
      <w:r w:rsidRPr="00100F23">
        <w:rPr>
          <w:lang w:val="en-CA"/>
        </w:rPr>
        <w:fldChar w:fldCharType="separate"/>
      </w:r>
      <w:r w:rsidRPr="0061570B">
        <w:rPr>
          <w:b/>
          <w:bCs w:val="0"/>
          <w:szCs w:val="24"/>
          <w:lang w:val="en-GB"/>
        </w:rPr>
        <w:t>Figure 3</w:t>
      </w:r>
      <w:r w:rsidRPr="00100F23">
        <w:rPr>
          <w:lang w:val="en-CA"/>
        </w:rPr>
        <w:fldChar w:fldCharType="end"/>
      </w:r>
      <w:r w:rsidRPr="00BD14BD">
        <w:rPr>
          <w:lang w:val="en-CA"/>
        </w:rPr>
        <w:t xml:space="preserve">). However, only one scenario (H3; </w:t>
      </w:r>
      <w:r>
        <w:rPr>
          <w:lang w:val="en-CA"/>
        </w:rPr>
        <w:fldChar w:fldCharType="begin"/>
      </w:r>
      <w:r>
        <w:rPr>
          <w:lang w:val="en-CA"/>
        </w:rPr>
        <w:instrText xml:space="preserve"> REF _Ref81344626 \h </w:instrText>
      </w:r>
      <w:r>
        <w:rPr>
          <w:lang w:val="en-CA"/>
        </w:rPr>
      </w:r>
      <w:r>
        <w:rPr>
          <w:lang w:val="en-CA"/>
        </w:rPr>
        <w:fldChar w:fldCharType="separate"/>
      </w:r>
      <w:r w:rsidRPr="00922099">
        <w:rPr>
          <w:b/>
          <w:bCs w:val="0"/>
          <w:lang w:val="en-GB"/>
        </w:rPr>
        <w:t xml:space="preserve">Table </w:t>
      </w:r>
      <w:r>
        <w:rPr>
          <w:b/>
          <w:bCs w:val="0"/>
          <w:noProof/>
          <w:lang w:val="en-GB"/>
        </w:rPr>
        <w:t>1</w:t>
      </w:r>
      <w:r>
        <w:rPr>
          <w:lang w:val="en-CA"/>
        </w:rPr>
        <w:fldChar w:fldCharType="end"/>
      </w:r>
      <w:r w:rsidRPr="00BD14BD">
        <w:rPr>
          <w:lang w:val="en-CA"/>
        </w:rPr>
        <w:t xml:space="preserve">) exhibited FNR values above a very conservative limit of 1%, regardless of the </w:t>
      </w:r>
      <w:r w:rsidRPr="00BD14BD">
        <w:rPr>
          <w:i/>
          <w:iCs/>
          <w:lang w:val="en-CA"/>
        </w:rPr>
        <w:t>p</w:t>
      </w:r>
      <w:r w:rsidRPr="00BD14BD">
        <w:rPr>
          <w:lang w:val="en-CA"/>
        </w:rPr>
        <w:t>-value threshold used (</w:t>
      </w:r>
      <w:r w:rsidRPr="00100F23">
        <w:rPr>
          <w:lang w:val="en-CA"/>
        </w:rPr>
        <w:fldChar w:fldCharType="begin"/>
      </w:r>
      <w:r w:rsidRPr="00100F23">
        <w:rPr>
          <w:lang w:val="en-CA"/>
        </w:rPr>
        <w:instrText xml:space="preserve"> REF _Ref81345656 \h  \* MERGEFORMAT </w:instrText>
      </w:r>
      <w:r w:rsidRPr="00100F23">
        <w:rPr>
          <w:lang w:val="en-CA"/>
        </w:rPr>
      </w:r>
      <w:r w:rsidRPr="00100F23">
        <w:rPr>
          <w:lang w:val="en-CA"/>
        </w:rPr>
        <w:fldChar w:fldCharType="separate"/>
      </w:r>
      <w:r w:rsidRPr="0061570B">
        <w:rPr>
          <w:b/>
          <w:bCs w:val="0"/>
          <w:szCs w:val="24"/>
          <w:lang w:val="en-GB"/>
        </w:rPr>
        <w:t>Figure 3</w:t>
      </w:r>
      <w:r w:rsidRPr="00100F23">
        <w:rPr>
          <w:lang w:val="en-CA"/>
        </w:rPr>
        <w:fldChar w:fldCharType="end"/>
      </w:r>
      <w:r w:rsidRPr="00BD14BD">
        <w:rPr>
          <w:lang w:val="en-CA"/>
        </w:rPr>
        <w:t>). Of the four scenarios that did not achieve an average FNR of 0 (L3, M3, H2, and H3), two involved high dispersal. When we averaged the FNR values calculated at the traditional p ≤ 0.05 threshold across scenarios sharing the same dispersal parameters (e.g.,</w:t>
      </w:r>
      <w:r w:rsidRPr="00BD14BD">
        <w:rPr>
          <w:i/>
          <w:lang w:val="en-CA"/>
        </w:rPr>
        <w:t xml:space="preserve"> </w:t>
      </w:r>
      <w:r w:rsidRPr="00BD14BD">
        <w:rPr>
          <w:lang w:val="en-CA"/>
        </w:rPr>
        <w:t xml:space="preserve">averaging FNR value for L1, L2, and L3 grouped together), the mean FNRs were 0.0037 (0.0007 – 0.0066; 95% confidence interval [CI]) for low dispersal, 0.0049 </w:t>
      </w:r>
      <w:r w:rsidRPr="00BD14BD">
        <w:rPr>
          <w:lang w:val="en-CA"/>
        </w:rPr>
        <w:lastRenderedPageBreak/>
        <w:t>(0.0015 – 0.0083; 95% CI) for moderate dispersal, and 0.0108 (0.0055 – 0.0161; 95% CI) for high dispersal.</w:t>
      </w:r>
    </w:p>
    <w:p w14:paraId="7416FDED" w14:textId="6341B223" w:rsidR="008D3B5A" w:rsidRPr="00BD14BD" w:rsidRDefault="008D3B5A" w:rsidP="004775A3">
      <w:pPr>
        <w:spacing w:line="480" w:lineRule="auto"/>
        <w:rPr>
          <w:lang w:val="en-CA"/>
        </w:rPr>
      </w:pPr>
      <w:r w:rsidRPr="00BD14BD">
        <w:rPr>
          <w:lang w:val="en-CA"/>
        </w:rPr>
        <w:t>In contrast, dispersal capacity did not substantially affect the FPR (</w:t>
      </w:r>
      <w:r w:rsidRPr="00100F23">
        <w:rPr>
          <w:lang w:val="en-CA"/>
        </w:rPr>
        <w:fldChar w:fldCharType="begin"/>
      </w:r>
      <w:r w:rsidRPr="00100F23">
        <w:rPr>
          <w:lang w:val="en-CA"/>
        </w:rPr>
        <w:instrText xml:space="preserve"> REF _Ref81345534 \h  \* MERGEFORMAT </w:instrText>
      </w:r>
      <w:r w:rsidRPr="00100F23">
        <w:rPr>
          <w:lang w:val="en-CA"/>
        </w:rPr>
      </w:r>
      <w:r w:rsidRPr="00100F23">
        <w:rPr>
          <w:lang w:val="en-CA"/>
        </w:rPr>
        <w:fldChar w:fldCharType="separate"/>
      </w:r>
      <w:r w:rsidRPr="0061570B">
        <w:rPr>
          <w:b/>
          <w:bCs w:val="0"/>
          <w:szCs w:val="24"/>
          <w:lang w:val="en-GB"/>
        </w:rPr>
        <w:t>Figure 2</w:t>
      </w:r>
      <w:r w:rsidRPr="00100F23">
        <w:rPr>
          <w:lang w:val="en-CA"/>
        </w:rPr>
        <w:fldChar w:fldCharType="end"/>
      </w:r>
      <w:r w:rsidRPr="00BD14BD">
        <w:rPr>
          <w:lang w:val="en-CA"/>
        </w:rPr>
        <w:t>). There were no consistent trends in FPR when comparing scenarios with different dispersal capacities but the same number of affected populations: L1 had slightly higher values than M1 and H1; L2 had slightly lower values than M2 and H2; and L3 had intermediate values between those of M3 and H3. Average FPR values for scenarios sharing the same dispersal parameters, calculated using FPRs at the p &lt; 0.05 threshold as before, were 0.0599 (0.0558 – 0.0641; 95% CI) for low dispersal, 0.0621 (0.0580 – 0.0662; 95% CI) for moderate dispersal, and 0.0600 (0.0562 – 0.0638; 95% CI) for high dispersal (</w:t>
      </w:r>
      <w:r w:rsidRPr="00100F23">
        <w:rPr>
          <w:lang w:val="en-CA"/>
        </w:rPr>
        <w:fldChar w:fldCharType="begin"/>
      </w:r>
      <w:r w:rsidRPr="00100F23">
        <w:rPr>
          <w:lang w:val="en-CA"/>
        </w:rPr>
        <w:instrText xml:space="preserve"> REF _Ref81345534 \h  \* MERGEFORMAT </w:instrText>
      </w:r>
      <w:r w:rsidRPr="00100F23">
        <w:rPr>
          <w:lang w:val="en-CA"/>
        </w:rPr>
      </w:r>
      <w:r w:rsidRPr="00100F23">
        <w:rPr>
          <w:lang w:val="en-CA"/>
        </w:rPr>
        <w:fldChar w:fldCharType="separate"/>
      </w:r>
      <w:r w:rsidRPr="0061570B">
        <w:rPr>
          <w:b/>
          <w:bCs w:val="0"/>
          <w:szCs w:val="24"/>
          <w:lang w:val="en-GB"/>
        </w:rPr>
        <w:t>Figure 2</w:t>
      </w:r>
      <w:r w:rsidRPr="00100F23">
        <w:rPr>
          <w:lang w:val="en-CA"/>
        </w:rPr>
        <w:fldChar w:fldCharType="end"/>
      </w:r>
      <w:r w:rsidRPr="00BD14BD">
        <w:rPr>
          <w:lang w:val="en-CA"/>
        </w:rPr>
        <w:t>).</w:t>
      </w:r>
    </w:p>
    <w:p w14:paraId="3118510E" w14:textId="77777777" w:rsidR="008D3B5A" w:rsidRPr="00BD14BD" w:rsidRDefault="008D3B5A" w:rsidP="004775A3">
      <w:pPr>
        <w:pStyle w:val="Heading4"/>
        <w:spacing w:line="480" w:lineRule="auto"/>
        <w:rPr>
          <w:lang w:val="en-CA"/>
        </w:rPr>
      </w:pPr>
      <w:bookmarkStart w:id="31" w:name="_Toc81356479"/>
      <w:r w:rsidRPr="00BD14BD">
        <w:rPr>
          <w:lang w:val="en-CA"/>
        </w:rPr>
        <w:t>3.2. Spatial extent</w:t>
      </w:r>
      <w:bookmarkEnd w:id="31"/>
    </w:p>
    <w:p w14:paraId="0CEA458E" w14:textId="3424557E" w:rsidR="008D3B5A" w:rsidRDefault="008D3B5A" w:rsidP="004775A3">
      <w:pPr>
        <w:spacing w:line="480" w:lineRule="auto"/>
        <w:rPr>
          <w:lang w:val="en-CA"/>
        </w:rPr>
      </w:pPr>
      <w:r w:rsidRPr="00BD14BD">
        <w:rPr>
          <w:lang w:val="en-CA"/>
        </w:rPr>
        <w:t>The number of populations affected by a demographic event also influenced our ability to detect meaningful temporal change. Scenarios in which fewer populations were affected exhibited a reduced FNR and an increased FPR (</w:t>
      </w:r>
      <w:r w:rsidRPr="00100F23">
        <w:rPr>
          <w:lang w:val="en-CA"/>
        </w:rPr>
        <w:fldChar w:fldCharType="begin"/>
      </w:r>
      <w:r w:rsidRPr="00100F23">
        <w:rPr>
          <w:lang w:val="en-CA"/>
        </w:rPr>
        <w:instrText xml:space="preserve"> REF _Ref81345534 \h  \* MERGEFORMAT </w:instrText>
      </w:r>
      <w:r w:rsidRPr="00100F23">
        <w:rPr>
          <w:lang w:val="en-CA"/>
        </w:rPr>
      </w:r>
      <w:r w:rsidRPr="00100F23">
        <w:rPr>
          <w:lang w:val="en-CA"/>
        </w:rPr>
        <w:fldChar w:fldCharType="separate"/>
      </w:r>
      <w:r w:rsidRPr="0061570B">
        <w:rPr>
          <w:b/>
          <w:bCs w:val="0"/>
          <w:szCs w:val="24"/>
          <w:lang w:val="en-GB"/>
        </w:rPr>
        <w:t>Figure 2</w:t>
      </w:r>
      <w:r w:rsidRPr="00100F23">
        <w:rPr>
          <w:lang w:val="en-CA"/>
        </w:rPr>
        <w:fldChar w:fldCharType="end"/>
      </w:r>
      <w:r w:rsidRPr="00100F23">
        <w:rPr>
          <w:lang w:val="en-CA"/>
        </w:rPr>
        <w:t xml:space="preserve">, </w:t>
      </w:r>
      <w:r w:rsidRPr="00100F23">
        <w:rPr>
          <w:lang w:val="en-CA"/>
        </w:rPr>
        <w:fldChar w:fldCharType="begin"/>
      </w:r>
      <w:r w:rsidRPr="00100F23">
        <w:rPr>
          <w:lang w:val="en-CA"/>
        </w:rPr>
        <w:instrText xml:space="preserve"> REF _Ref81345656 \h  \* MERGEFORMAT </w:instrText>
      </w:r>
      <w:r w:rsidRPr="00100F23">
        <w:rPr>
          <w:lang w:val="en-CA"/>
        </w:rPr>
      </w:r>
      <w:r w:rsidRPr="00100F23">
        <w:rPr>
          <w:lang w:val="en-CA"/>
        </w:rPr>
        <w:fldChar w:fldCharType="separate"/>
      </w:r>
      <w:r w:rsidRPr="0061570B">
        <w:rPr>
          <w:b/>
          <w:bCs w:val="0"/>
          <w:szCs w:val="24"/>
          <w:lang w:val="en-GB"/>
        </w:rPr>
        <w:t>Figure 3</w:t>
      </w:r>
      <w:r w:rsidRPr="00100F23">
        <w:rPr>
          <w:lang w:val="en-CA"/>
        </w:rPr>
        <w:fldChar w:fldCharType="end"/>
      </w:r>
      <w:r w:rsidRPr="00100F23">
        <w:rPr>
          <w:lang w:val="en-CA"/>
        </w:rPr>
        <w:t>).</w:t>
      </w:r>
      <w:r w:rsidRPr="00BD14BD">
        <w:rPr>
          <w:lang w:val="en-CA"/>
        </w:rPr>
        <w:t xml:space="preserve"> Scenarios in which a single population was affected (i.e., L1, M1, H1) had a perfect FNR (0;</w:t>
      </w:r>
      <w:r w:rsidRPr="00100F23">
        <w:rPr>
          <w:lang w:val="en-CA"/>
        </w:rPr>
        <w:fldChar w:fldCharType="begin"/>
      </w:r>
      <w:r w:rsidRPr="00100F23">
        <w:rPr>
          <w:lang w:val="en-CA"/>
        </w:rPr>
        <w:instrText xml:space="preserve"> REF _Ref81345656 \h  \* MERGEFORMAT </w:instrText>
      </w:r>
      <w:r w:rsidRPr="00100F23">
        <w:rPr>
          <w:lang w:val="en-CA"/>
        </w:rPr>
      </w:r>
      <w:r w:rsidRPr="00100F23">
        <w:rPr>
          <w:lang w:val="en-CA"/>
        </w:rPr>
        <w:fldChar w:fldCharType="separate"/>
      </w:r>
      <w:r w:rsidRPr="0061570B">
        <w:rPr>
          <w:b/>
          <w:bCs w:val="0"/>
          <w:szCs w:val="24"/>
          <w:lang w:val="en-GB"/>
        </w:rPr>
        <w:t>Figure 3</w:t>
      </w:r>
      <w:r w:rsidRPr="00100F23">
        <w:rPr>
          <w:lang w:val="en-CA"/>
        </w:rPr>
        <w:fldChar w:fldCharType="end"/>
      </w:r>
      <w:r w:rsidRPr="00BD14BD">
        <w:rPr>
          <w:lang w:val="en-CA"/>
        </w:rPr>
        <w:t>), while scenarios L2 and M2 only reached this perfect FNR at more liberal significance thresholds (i.e., above p ≤ 0.03;</w:t>
      </w:r>
      <w:r>
        <w:rPr>
          <w:lang w:val="en-CA"/>
        </w:rPr>
        <w:t xml:space="preserve"> </w:t>
      </w:r>
      <w:r w:rsidRPr="00100F23">
        <w:rPr>
          <w:lang w:val="en-CA"/>
        </w:rPr>
        <w:fldChar w:fldCharType="begin"/>
      </w:r>
      <w:r w:rsidRPr="00100F23">
        <w:rPr>
          <w:lang w:val="en-CA"/>
        </w:rPr>
        <w:instrText xml:space="preserve"> REF _Ref81345656 \h  \* MERGEFORMAT </w:instrText>
      </w:r>
      <w:r w:rsidRPr="00100F23">
        <w:rPr>
          <w:lang w:val="en-CA"/>
        </w:rPr>
      </w:r>
      <w:r w:rsidRPr="00100F23">
        <w:rPr>
          <w:lang w:val="en-CA"/>
        </w:rPr>
        <w:fldChar w:fldCharType="separate"/>
      </w:r>
      <w:r w:rsidRPr="0061570B">
        <w:rPr>
          <w:b/>
          <w:bCs w:val="0"/>
          <w:szCs w:val="24"/>
          <w:lang w:val="en-GB"/>
        </w:rPr>
        <w:t>Figure 3</w:t>
      </w:r>
      <w:r w:rsidRPr="00100F23">
        <w:rPr>
          <w:lang w:val="en-CA"/>
        </w:rPr>
        <w:fldChar w:fldCharType="end"/>
      </w:r>
      <w:r w:rsidRPr="00100F23">
        <w:rPr>
          <w:lang w:val="en-CA"/>
        </w:rPr>
        <w:t xml:space="preserve">). </w:t>
      </w:r>
      <w:r w:rsidRPr="00BD14BD">
        <w:rPr>
          <w:lang w:val="en-CA"/>
        </w:rPr>
        <w:t>The mean FNRs at p ≤ 0.05, averaged across scenarios sharing the same number of affected populations (e.g.,</w:t>
      </w:r>
      <w:r w:rsidRPr="00BD14BD">
        <w:rPr>
          <w:i/>
          <w:lang w:val="en-CA"/>
        </w:rPr>
        <w:t xml:space="preserve"> </w:t>
      </w:r>
      <w:r w:rsidRPr="00BD14BD">
        <w:rPr>
          <w:lang w:val="en-CA"/>
        </w:rPr>
        <w:t>one averaged value for L1, M1, and H1 grouped together), were zero for scenarios with one affected population, 0.0028 (0 – 0.0059; 95% CI) for scenarios with two affected populations, and 0.0167 (0.0105 – 0.0228; 95% CI) for scenarios with three affected populations.</w:t>
      </w:r>
    </w:p>
    <w:p w14:paraId="127B064C" w14:textId="0221243B" w:rsidR="008D3B5A" w:rsidRPr="00BD14BD" w:rsidRDefault="008D3B5A" w:rsidP="004775A3">
      <w:pPr>
        <w:spacing w:line="480" w:lineRule="auto"/>
        <w:rPr>
          <w:lang w:val="en-CA"/>
        </w:rPr>
      </w:pPr>
      <w:r w:rsidRPr="00BD14BD">
        <w:rPr>
          <w:lang w:val="en-CA"/>
        </w:rPr>
        <w:lastRenderedPageBreak/>
        <w:t xml:space="preserve">The number of affected populations influenced the FPR more than dispersal in our simulations. FPR values were consistent across scenarios with different dispersal </w:t>
      </w:r>
      <w:r>
        <w:rPr>
          <w:lang w:val="en-CA"/>
        </w:rPr>
        <w:t xml:space="preserve">levels </w:t>
      </w:r>
      <w:r w:rsidRPr="00BD14BD">
        <w:rPr>
          <w:lang w:val="en-CA"/>
        </w:rPr>
        <w:t>but the same number of affected populations</w:t>
      </w:r>
      <w:r>
        <w:rPr>
          <w:lang w:val="en-CA"/>
        </w:rPr>
        <w:t>,</w:t>
      </w:r>
      <w:r w:rsidRPr="00BD14BD">
        <w:rPr>
          <w:lang w:val="en-CA"/>
        </w:rPr>
        <w:t xml:space="preserve"> rather than across scenarios with similar dispersal </w:t>
      </w:r>
      <w:r>
        <w:rPr>
          <w:lang w:val="en-CA"/>
        </w:rPr>
        <w:t xml:space="preserve">levels </w:t>
      </w:r>
      <w:r w:rsidRPr="00BD14BD">
        <w:rPr>
          <w:lang w:val="en-CA"/>
        </w:rPr>
        <w:t>but different numbers of affected populations (</w:t>
      </w:r>
      <w:r w:rsidRPr="00100F23">
        <w:rPr>
          <w:lang w:val="en-CA"/>
        </w:rPr>
        <w:fldChar w:fldCharType="begin"/>
      </w:r>
      <w:r w:rsidRPr="00100F23">
        <w:rPr>
          <w:lang w:val="en-CA"/>
        </w:rPr>
        <w:instrText xml:space="preserve"> REF _Ref81345534 \h  \* MERGEFORMAT </w:instrText>
      </w:r>
      <w:r w:rsidRPr="00100F23">
        <w:rPr>
          <w:lang w:val="en-CA"/>
        </w:rPr>
      </w:r>
      <w:r w:rsidRPr="00100F23">
        <w:rPr>
          <w:lang w:val="en-CA"/>
        </w:rPr>
        <w:fldChar w:fldCharType="separate"/>
      </w:r>
      <w:r w:rsidRPr="0061570B">
        <w:rPr>
          <w:b/>
          <w:bCs w:val="0"/>
          <w:szCs w:val="24"/>
          <w:lang w:val="en-GB"/>
        </w:rPr>
        <w:t>Figure 2</w:t>
      </w:r>
      <w:r w:rsidRPr="00100F23">
        <w:rPr>
          <w:lang w:val="en-CA"/>
        </w:rPr>
        <w:fldChar w:fldCharType="end"/>
      </w:r>
      <w:r w:rsidRPr="00100F23">
        <w:rPr>
          <w:lang w:val="en-CA"/>
        </w:rPr>
        <w:t>,</w:t>
      </w:r>
      <w:r>
        <w:rPr>
          <w:lang w:val="en-CA"/>
        </w:rPr>
        <w:t xml:space="preserve"> </w:t>
      </w:r>
      <w:r w:rsidRPr="00100F23">
        <w:rPr>
          <w:lang w:val="en-CA"/>
        </w:rPr>
        <w:fldChar w:fldCharType="begin"/>
      </w:r>
      <w:r w:rsidRPr="00100F23">
        <w:rPr>
          <w:lang w:val="en-CA"/>
        </w:rPr>
        <w:instrText xml:space="preserve"> REF _Ref81345656 \h  \* MERGEFORMAT </w:instrText>
      </w:r>
      <w:r w:rsidRPr="00100F23">
        <w:rPr>
          <w:lang w:val="en-CA"/>
        </w:rPr>
      </w:r>
      <w:r w:rsidRPr="00100F23">
        <w:rPr>
          <w:lang w:val="en-CA"/>
        </w:rPr>
        <w:fldChar w:fldCharType="separate"/>
      </w:r>
      <w:r w:rsidRPr="0061570B">
        <w:rPr>
          <w:b/>
          <w:bCs w:val="0"/>
          <w:szCs w:val="24"/>
          <w:lang w:val="en-GB"/>
        </w:rPr>
        <w:t>Figure 3</w:t>
      </w:r>
      <w:r w:rsidRPr="00100F23">
        <w:rPr>
          <w:lang w:val="en-CA"/>
        </w:rPr>
        <w:fldChar w:fldCharType="end"/>
      </w:r>
      <w:r w:rsidRPr="00BD14BD">
        <w:rPr>
          <w:lang w:val="en-CA"/>
        </w:rPr>
        <w:t xml:space="preserve">). The average FPRs from scenarios with the same number of affected populations, determined at the </w:t>
      </w:r>
      <w:r w:rsidRPr="00BD14BD">
        <w:rPr>
          <w:i/>
          <w:iCs/>
          <w:lang w:val="en-CA"/>
        </w:rPr>
        <w:t>p</w:t>
      </w:r>
      <w:r w:rsidRPr="00BD14BD">
        <w:rPr>
          <w:lang w:val="en-CA"/>
        </w:rPr>
        <w:t xml:space="preserve"> ≤ 0.05 significance threshold, were 0.0820 (0.0778 – 0.0863; 95% CI) for scenarios with one affected population, 0.0553 (0.0516 – 0.0591; 95% CI) for scenarios with two affected populations, and 0.0447 (0.0413 – 0.0481; 95% CI) for scenarios with three affected populations.</w:t>
      </w:r>
    </w:p>
    <w:p w14:paraId="14AD3D72" w14:textId="77777777" w:rsidR="008D3B5A" w:rsidRPr="00BD14BD" w:rsidRDefault="008D3B5A" w:rsidP="004775A3">
      <w:pPr>
        <w:pStyle w:val="Heading4"/>
        <w:spacing w:line="480" w:lineRule="auto"/>
        <w:rPr>
          <w:lang w:val="en-CA"/>
        </w:rPr>
      </w:pPr>
      <w:bookmarkStart w:id="32" w:name="_Toc79591405"/>
      <w:bookmarkStart w:id="33" w:name="_Toc81356480"/>
      <w:r w:rsidRPr="00BD14BD">
        <w:rPr>
          <w:lang w:val="en-CA"/>
        </w:rPr>
        <w:t>3.3. Time</w:t>
      </w:r>
      <w:bookmarkEnd w:id="32"/>
      <w:bookmarkEnd w:id="33"/>
    </w:p>
    <w:p w14:paraId="551AFBDB" w14:textId="1D460555" w:rsidR="008D3B5A" w:rsidRPr="00100F23" w:rsidRDefault="008D3B5A" w:rsidP="004775A3">
      <w:pPr>
        <w:spacing w:line="480" w:lineRule="auto"/>
        <w:rPr>
          <w:b/>
          <w:bCs w:val="0"/>
          <w:lang w:val="en-CA"/>
        </w:rPr>
      </w:pPr>
      <w:r w:rsidRPr="00BD14BD">
        <w:rPr>
          <w:lang w:val="en-CA"/>
        </w:rPr>
        <w:t>We found that the genetic signal of the demographic event decayed over time, but that the TGI test was still able to identify significant changes in genetic diversity at a time scale of 1–</w:t>
      </w:r>
      <w:r>
        <w:rPr>
          <w:lang w:val="en-CA"/>
        </w:rPr>
        <w:t>9</w:t>
      </w:r>
      <w:r w:rsidRPr="00BD14BD">
        <w:rPr>
          <w:lang w:val="en-CA"/>
        </w:rPr>
        <w:t xml:space="preserve"> generations. However, as the time interval between pre- and post-event </w:t>
      </w:r>
      <w:r>
        <w:rPr>
          <w:lang w:val="en-CA"/>
        </w:rPr>
        <w:t>surveys</w:t>
      </w:r>
      <w:r w:rsidRPr="00BD14BD">
        <w:rPr>
          <w:lang w:val="en-CA"/>
        </w:rPr>
        <w:t xml:space="preserve"> increased, the ability of TGI to detect the demographic event decreased, evidenced by the increase in false positives and false negatives for several demographic scenarios (</w:t>
      </w:r>
      <w:r w:rsidRPr="00100F23">
        <w:rPr>
          <w:lang w:val="en-CA"/>
        </w:rPr>
        <w:fldChar w:fldCharType="begin"/>
      </w:r>
      <w:r w:rsidRPr="00100F23">
        <w:rPr>
          <w:lang w:val="en-CA"/>
        </w:rPr>
        <w:instrText xml:space="preserve"> REF _Ref81345996 \h  \* MERGEFORMAT </w:instrText>
      </w:r>
      <w:r w:rsidRPr="00100F23">
        <w:rPr>
          <w:lang w:val="en-CA"/>
        </w:rPr>
      </w:r>
      <w:r w:rsidRPr="00100F23">
        <w:rPr>
          <w:lang w:val="en-CA"/>
        </w:rPr>
        <w:fldChar w:fldCharType="separate"/>
      </w:r>
      <w:r w:rsidRPr="0061570B">
        <w:rPr>
          <w:b/>
          <w:bCs w:val="0"/>
          <w:szCs w:val="24"/>
          <w:lang w:val="en-GB"/>
        </w:rPr>
        <w:t>Figure 4</w:t>
      </w:r>
      <w:r w:rsidRPr="00100F23">
        <w:rPr>
          <w:lang w:val="en-CA"/>
        </w:rPr>
        <w:fldChar w:fldCharType="end"/>
      </w:r>
      <w:r w:rsidRPr="00100F23">
        <w:rPr>
          <w:lang w:val="en-CA"/>
        </w:rPr>
        <w:t>,</w:t>
      </w:r>
      <w:r>
        <w:rPr>
          <w:lang w:val="en-CA"/>
        </w:rPr>
        <w:t xml:space="preserve"> </w:t>
      </w:r>
      <w:r w:rsidRPr="00100F23">
        <w:rPr>
          <w:lang w:val="en-CA"/>
        </w:rPr>
        <w:fldChar w:fldCharType="begin"/>
      </w:r>
      <w:r w:rsidRPr="00100F23">
        <w:rPr>
          <w:lang w:val="en-CA"/>
        </w:rPr>
        <w:instrText xml:space="preserve"> REF _Ref81346002 \h  \* MERGEFORMAT </w:instrText>
      </w:r>
      <w:r w:rsidRPr="00100F23">
        <w:rPr>
          <w:lang w:val="en-CA"/>
        </w:rPr>
      </w:r>
      <w:r w:rsidRPr="00100F23">
        <w:rPr>
          <w:lang w:val="en-CA"/>
        </w:rPr>
        <w:fldChar w:fldCharType="separate"/>
      </w:r>
      <w:r w:rsidRPr="0061570B">
        <w:rPr>
          <w:b/>
          <w:bCs w:val="0"/>
          <w:szCs w:val="24"/>
          <w:lang w:val="en-GB"/>
        </w:rPr>
        <w:t>Figure 5</w:t>
      </w:r>
      <w:r w:rsidRPr="00100F23">
        <w:rPr>
          <w:lang w:val="en-CA"/>
        </w:rPr>
        <w:fldChar w:fldCharType="end"/>
      </w:r>
      <w:r w:rsidRPr="00BD14BD">
        <w:rPr>
          <w:lang w:val="en-CA"/>
        </w:rPr>
        <w:t xml:space="preserve">). The effect of time between </w:t>
      </w:r>
      <w:r>
        <w:rPr>
          <w:lang w:val="en-CA"/>
        </w:rPr>
        <w:t xml:space="preserve">surveys </w:t>
      </w:r>
      <w:r w:rsidRPr="00BD14BD">
        <w:rPr>
          <w:lang w:val="en-CA"/>
        </w:rPr>
        <w:t>on the sensitivity of TGI was strongly affected by dispersal capacity and the extent of the event.</w:t>
      </w:r>
    </w:p>
    <w:p w14:paraId="073CD84E" w14:textId="535ABD86" w:rsidR="008D3B5A" w:rsidRPr="00100F23" w:rsidRDefault="008D3B5A" w:rsidP="004775A3">
      <w:pPr>
        <w:spacing w:line="480" w:lineRule="auto"/>
        <w:rPr>
          <w:b/>
          <w:bCs w:val="0"/>
          <w:lang w:val="en-CA"/>
        </w:rPr>
      </w:pPr>
      <w:r w:rsidRPr="00BD14BD">
        <w:rPr>
          <w:lang w:val="en-CA"/>
        </w:rPr>
        <w:t xml:space="preserve">The timing of sampling prior to a simulated event was, as expected, generally less important than the timing of the post-event </w:t>
      </w:r>
      <w:r>
        <w:rPr>
          <w:lang w:val="en-CA"/>
        </w:rPr>
        <w:t>survey</w:t>
      </w:r>
      <w:r w:rsidRPr="00BD14BD">
        <w:rPr>
          <w:lang w:val="en-CA"/>
        </w:rPr>
        <w:t xml:space="preserve">. The decrease in genetic signal over time — which would be found with any comparative method, not just TGI — was considerably strong in our simulations. For example, if the second (post-event) survey was taken nine generations after the first (pre-event) survey, we observed high FNR values that approached 75–90% in high- </w:t>
      </w:r>
      <w:r w:rsidRPr="00BD14BD">
        <w:rPr>
          <w:lang w:val="en-CA"/>
        </w:rPr>
        <w:lastRenderedPageBreak/>
        <w:t>and moderate-dispersal scenarios (</w:t>
      </w:r>
      <w:r w:rsidRPr="00100F23">
        <w:rPr>
          <w:lang w:val="en-CA"/>
        </w:rPr>
        <w:fldChar w:fldCharType="begin"/>
      </w:r>
      <w:r w:rsidRPr="00100F23">
        <w:rPr>
          <w:lang w:val="en-CA"/>
        </w:rPr>
        <w:instrText xml:space="preserve"> REF _Ref81345996 \h  \* MERGEFORMAT </w:instrText>
      </w:r>
      <w:r w:rsidRPr="00100F23">
        <w:rPr>
          <w:lang w:val="en-CA"/>
        </w:rPr>
      </w:r>
      <w:r w:rsidRPr="00100F23">
        <w:rPr>
          <w:lang w:val="en-CA"/>
        </w:rPr>
        <w:fldChar w:fldCharType="separate"/>
      </w:r>
      <w:r w:rsidRPr="0061570B">
        <w:rPr>
          <w:b/>
          <w:bCs w:val="0"/>
          <w:szCs w:val="24"/>
          <w:lang w:val="en-GB"/>
        </w:rPr>
        <w:t>Figure 4</w:t>
      </w:r>
      <w:r w:rsidRPr="00100F23">
        <w:rPr>
          <w:lang w:val="en-CA"/>
        </w:rPr>
        <w:fldChar w:fldCharType="end"/>
      </w:r>
      <w:r w:rsidRPr="00BD14BD">
        <w:rPr>
          <w:lang w:val="en-CA"/>
        </w:rPr>
        <w:t>). The FNR also increased with the time lag in low-dispersal scenarios, but the increase was more linear, and values never reached 30%, even after nine generations (</w:t>
      </w:r>
      <w:r w:rsidRPr="00100F23">
        <w:rPr>
          <w:lang w:val="en-CA"/>
        </w:rPr>
        <w:fldChar w:fldCharType="begin"/>
      </w:r>
      <w:r w:rsidRPr="00100F23">
        <w:rPr>
          <w:lang w:val="en-CA"/>
        </w:rPr>
        <w:instrText xml:space="preserve"> REF _Ref81345996 \h  \* MERGEFORMAT </w:instrText>
      </w:r>
      <w:r w:rsidRPr="00100F23">
        <w:rPr>
          <w:lang w:val="en-CA"/>
        </w:rPr>
      </w:r>
      <w:r w:rsidRPr="00100F23">
        <w:rPr>
          <w:lang w:val="en-CA"/>
        </w:rPr>
        <w:fldChar w:fldCharType="separate"/>
      </w:r>
      <w:r w:rsidRPr="0061570B">
        <w:rPr>
          <w:b/>
          <w:bCs w:val="0"/>
          <w:szCs w:val="24"/>
          <w:lang w:val="en-GB"/>
        </w:rPr>
        <w:t>Figure 4</w:t>
      </w:r>
      <w:r w:rsidRPr="00100F23">
        <w:rPr>
          <w:lang w:val="en-CA"/>
        </w:rPr>
        <w:fldChar w:fldCharType="end"/>
      </w:r>
      <w:r w:rsidRPr="00BD14BD">
        <w:rPr>
          <w:lang w:val="en-CA"/>
        </w:rPr>
        <w:t xml:space="preserve">). One interesting result was that the number of affected populations was the main factor driving increasing FNR values </w:t>
      </w:r>
      <w:r>
        <w:rPr>
          <w:lang w:val="en-CA"/>
        </w:rPr>
        <w:t>with the age of the</w:t>
      </w:r>
      <w:r w:rsidRPr="00BD14BD">
        <w:rPr>
          <w:lang w:val="en-CA"/>
        </w:rPr>
        <w:t xml:space="preserve"> pre-event survey (3&gt;2&gt;1; left side of </w:t>
      </w:r>
      <w:r w:rsidRPr="00100F23">
        <w:rPr>
          <w:lang w:val="en-CA"/>
        </w:rPr>
        <w:fldChar w:fldCharType="begin"/>
      </w:r>
      <w:r w:rsidRPr="00100F23">
        <w:rPr>
          <w:lang w:val="en-CA"/>
        </w:rPr>
        <w:instrText xml:space="preserve"> REF _Ref81345996 \h  \* MERGEFORMAT </w:instrText>
      </w:r>
      <w:r w:rsidRPr="00100F23">
        <w:rPr>
          <w:lang w:val="en-CA"/>
        </w:rPr>
      </w:r>
      <w:r w:rsidRPr="00100F23">
        <w:rPr>
          <w:lang w:val="en-CA"/>
        </w:rPr>
        <w:fldChar w:fldCharType="separate"/>
      </w:r>
      <w:r w:rsidRPr="0061570B">
        <w:rPr>
          <w:b/>
          <w:bCs w:val="0"/>
          <w:szCs w:val="24"/>
          <w:lang w:val="en-GB"/>
        </w:rPr>
        <w:t>Figur</w:t>
      </w:r>
      <w:r w:rsidRPr="0061570B">
        <w:rPr>
          <w:b/>
          <w:bCs w:val="0"/>
          <w:szCs w:val="24"/>
          <w:lang w:val="en-GB"/>
        </w:rPr>
        <w:t>e</w:t>
      </w:r>
      <w:r w:rsidRPr="0061570B">
        <w:rPr>
          <w:b/>
          <w:bCs w:val="0"/>
          <w:szCs w:val="24"/>
          <w:lang w:val="en-GB"/>
        </w:rPr>
        <w:t xml:space="preserve"> 4</w:t>
      </w:r>
      <w:r w:rsidRPr="00100F23">
        <w:rPr>
          <w:lang w:val="en-CA"/>
        </w:rPr>
        <w:fldChar w:fldCharType="end"/>
      </w:r>
      <w:r w:rsidRPr="00BD14BD">
        <w:rPr>
          <w:lang w:val="en-CA"/>
        </w:rPr>
        <w:t>), while dispersal capacity was the main factor driving increasing FNR values when the</w:t>
      </w:r>
      <w:r>
        <w:rPr>
          <w:lang w:val="en-CA"/>
        </w:rPr>
        <w:t xml:space="preserve"> time between the event</w:t>
      </w:r>
      <w:r w:rsidRPr="00BD14BD">
        <w:rPr>
          <w:lang w:val="en-CA"/>
        </w:rPr>
        <w:t xml:space="preserve"> post-event survey </w:t>
      </w:r>
      <w:r>
        <w:rPr>
          <w:lang w:val="en-CA"/>
        </w:rPr>
        <w:t xml:space="preserve">increased </w:t>
      </w:r>
      <w:r w:rsidRPr="00BD14BD">
        <w:rPr>
          <w:lang w:val="en-CA"/>
        </w:rPr>
        <w:t xml:space="preserve">(H&gt;M&gt;L; right side of </w:t>
      </w:r>
      <w:r w:rsidRPr="00100F23">
        <w:rPr>
          <w:lang w:val="en-CA"/>
        </w:rPr>
        <w:fldChar w:fldCharType="begin"/>
      </w:r>
      <w:r w:rsidRPr="00100F23">
        <w:rPr>
          <w:lang w:val="en-CA"/>
        </w:rPr>
        <w:instrText xml:space="preserve"> REF _Ref81346002 \h  \* MERGEFORMAT </w:instrText>
      </w:r>
      <w:r w:rsidRPr="00100F23">
        <w:rPr>
          <w:lang w:val="en-CA"/>
        </w:rPr>
      </w:r>
      <w:r w:rsidRPr="00100F23">
        <w:rPr>
          <w:lang w:val="en-CA"/>
        </w:rPr>
        <w:fldChar w:fldCharType="separate"/>
      </w:r>
      <w:r w:rsidRPr="0061570B">
        <w:rPr>
          <w:b/>
          <w:bCs w:val="0"/>
          <w:szCs w:val="24"/>
          <w:lang w:val="en-GB"/>
        </w:rPr>
        <w:t>Figure 5</w:t>
      </w:r>
      <w:r w:rsidRPr="00100F23">
        <w:rPr>
          <w:lang w:val="en-CA"/>
        </w:rPr>
        <w:fldChar w:fldCharType="end"/>
      </w:r>
      <w:r w:rsidRPr="00100F23">
        <w:rPr>
          <w:lang w:val="en-CA"/>
        </w:rPr>
        <w:t>).</w:t>
      </w:r>
      <w:r w:rsidRPr="00BD14BD">
        <w:rPr>
          <w:lang w:val="en-CA"/>
        </w:rPr>
        <w:t xml:space="preserve"> For scenarios with the same number of affected populations, moderate-dispersal scenarios showed the worst performance with pre-event s</w:t>
      </w:r>
      <w:r>
        <w:rPr>
          <w:lang w:val="en-CA"/>
        </w:rPr>
        <w:t>urvey</w:t>
      </w:r>
      <w:r w:rsidRPr="00BD14BD">
        <w:rPr>
          <w:lang w:val="en-CA"/>
        </w:rPr>
        <w:t xml:space="preserve"> time lags, whereas high-dispersal scenarios generally showed the worst performance with post-event </w:t>
      </w:r>
      <w:r>
        <w:rPr>
          <w:lang w:val="en-CA"/>
        </w:rPr>
        <w:t>survey</w:t>
      </w:r>
      <w:r w:rsidRPr="00BD14BD">
        <w:rPr>
          <w:lang w:val="en-CA"/>
        </w:rPr>
        <w:t xml:space="preserve"> time lags (</w:t>
      </w:r>
      <w:r w:rsidR="00FF692E" w:rsidRPr="00100F23">
        <w:rPr>
          <w:lang w:val="en-CA"/>
        </w:rPr>
        <w:fldChar w:fldCharType="begin"/>
      </w:r>
      <w:r w:rsidR="00FF692E" w:rsidRPr="00100F23">
        <w:rPr>
          <w:lang w:val="en-CA"/>
        </w:rPr>
        <w:instrText xml:space="preserve"> REF _Ref81346002 \h  \* MERGEFORMAT </w:instrText>
      </w:r>
      <w:r w:rsidR="00FF692E" w:rsidRPr="00100F23">
        <w:rPr>
          <w:lang w:val="en-CA"/>
        </w:rPr>
      </w:r>
      <w:r w:rsidR="00FF692E" w:rsidRPr="00100F23">
        <w:rPr>
          <w:lang w:val="en-CA"/>
        </w:rPr>
        <w:fldChar w:fldCharType="separate"/>
      </w:r>
      <w:r w:rsidR="00FF692E" w:rsidRPr="0061570B">
        <w:rPr>
          <w:b/>
          <w:bCs w:val="0"/>
          <w:szCs w:val="24"/>
          <w:lang w:val="en-GB"/>
        </w:rPr>
        <w:t>Figure 5</w:t>
      </w:r>
      <w:r w:rsidR="00FF692E" w:rsidRPr="00100F23">
        <w:rPr>
          <w:lang w:val="en-CA"/>
        </w:rPr>
        <w:fldChar w:fldCharType="end"/>
      </w:r>
      <w:r w:rsidRPr="00BD14BD">
        <w:rPr>
          <w:lang w:val="en-CA"/>
        </w:rPr>
        <w:fldChar w:fldCharType="begin"/>
      </w:r>
      <w:r w:rsidRPr="00BD14BD">
        <w:rPr>
          <w:lang w:val="en-CA"/>
        </w:rPr>
        <w:instrText xml:space="preserve"> REF _Ref79576620 \h </w:instrText>
      </w:r>
      <w:r>
        <w:rPr>
          <w:lang w:val="en-CA"/>
        </w:rPr>
        <w:instrText xml:space="preserve"> \* MERGEFORMAT </w:instrText>
      </w:r>
      <w:r w:rsidRPr="00BD14BD">
        <w:rPr>
          <w:lang w:val="en-CA"/>
        </w:rPr>
      </w:r>
      <w:r w:rsidRPr="00BD14BD">
        <w:rPr>
          <w:lang w:val="en-CA"/>
        </w:rPr>
        <w:fldChar w:fldCharType="separate"/>
      </w:r>
      <w:r w:rsidRPr="00BD14BD">
        <w:rPr>
          <w:lang w:val="en-CA"/>
        </w:rPr>
        <w:fldChar w:fldCharType="end"/>
      </w:r>
      <w:r w:rsidRPr="00BD14BD">
        <w:rPr>
          <w:lang w:val="en-CA"/>
        </w:rPr>
        <w:t>). Over our nine-generation sampling window, the FNR changed the least for the L1 scenario and the most for the H3 scenario (</w:t>
      </w:r>
      <w:r w:rsidRPr="00100F23">
        <w:rPr>
          <w:b/>
          <w:bCs w:val="0"/>
          <w:lang w:val="en-CA"/>
        </w:rPr>
        <w:fldChar w:fldCharType="begin"/>
      </w:r>
      <w:r w:rsidRPr="00100F23">
        <w:rPr>
          <w:b/>
          <w:bCs w:val="0"/>
          <w:lang w:val="en-CA"/>
        </w:rPr>
        <w:instrText xml:space="preserve"> REF _Ref81346002 \h  \* MERGEFORMAT </w:instrText>
      </w:r>
      <w:r w:rsidRPr="00100F23">
        <w:rPr>
          <w:b/>
          <w:bCs w:val="0"/>
          <w:lang w:val="en-CA"/>
        </w:rPr>
      </w:r>
      <w:r w:rsidRPr="00100F23">
        <w:rPr>
          <w:b/>
          <w:bCs w:val="0"/>
          <w:lang w:val="en-CA"/>
        </w:rPr>
        <w:fldChar w:fldCharType="separate"/>
      </w:r>
      <w:r w:rsidRPr="0061570B">
        <w:rPr>
          <w:b/>
          <w:bCs w:val="0"/>
          <w:szCs w:val="24"/>
          <w:lang w:val="en-GB"/>
        </w:rPr>
        <w:t>Figure 5</w:t>
      </w:r>
      <w:r w:rsidRPr="00100F23">
        <w:rPr>
          <w:b/>
          <w:bCs w:val="0"/>
          <w:lang w:val="en-CA"/>
        </w:rPr>
        <w:fldChar w:fldCharType="end"/>
      </w:r>
      <w:r w:rsidRPr="00BD14BD">
        <w:rPr>
          <w:lang w:val="en-CA"/>
        </w:rPr>
        <w:t>).</w:t>
      </w:r>
    </w:p>
    <w:p w14:paraId="742F5C6F" w14:textId="4B3D0A77" w:rsidR="008D3B5A" w:rsidRPr="00BD14BD" w:rsidRDefault="008D3B5A" w:rsidP="004775A3">
      <w:pPr>
        <w:spacing w:line="480" w:lineRule="auto"/>
        <w:rPr>
          <w:lang w:val="en-CA"/>
        </w:rPr>
      </w:pPr>
      <w:r w:rsidRPr="00BD14BD">
        <w:rPr>
          <w:lang w:val="en-CA"/>
        </w:rPr>
        <w:t xml:space="preserve">While the relative differences in FPR performance given different </w:t>
      </w:r>
      <w:proofErr w:type="gramStart"/>
      <w:r w:rsidRPr="00BD14BD">
        <w:rPr>
          <w:lang w:val="en-CA"/>
        </w:rPr>
        <w:t>time</w:t>
      </w:r>
      <w:proofErr w:type="gramEnd"/>
      <w:r w:rsidRPr="00BD14BD">
        <w:rPr>
          <w:lang w:val="en-CA"/>
        </w:rPr>
        <w:t xml:space="preserve"> lags were not as high as for FNR, FPR nonetheless increased with the </w:t>
      </w:r>
      <w:r>
        <w:rPr>
          <w:lang w:val="en-CA"/>
        </w:rPr>
        <w:t>survey</w:t>
      </w:r>
      <w:r w:rsidRPr="00BD14BD">
        <w:rPr>
          <w:lang w:val="en-CA"/>
        </w:rPr>
        <w:t xml:space="preserve"> time lag. There were no clear patterns for whether dispersal or the number of affected populations most influenced the change in FPR associated with pre-event sampling time (</w:t>
      </w:r>
      <w:r w:rsidRPr="00100F23">
        <w:rPr>
          <w:lang w:val="en-CA"/>
        </w:rPr>
        <w:fldChar w:fldCharType="begin"/>
      </w:r>
      <w:r w:rsidRPr="00100F23">
        <w:rPr>
          <w:lang w:val="en-CA"/>
        </w:rPr>
        <w:instrText xml:space="preserve"> REF _Ref81346002 \h  \* MERGEFORMAT </w:instrText>
      </w:r>
      <w:r w:rsidRPr="00100F23">
        <w:rPr>
          <w:lang w:val="en-CA"/>
        </w:rPr>
      </w:r>
      <w:r w:rsidRPr="00100F23">
        <w:rPr>
          <w:lang w:val="en-CA"/>
        </w:rPr>
        <w:fldChar w:fldCharType="separate"/>
      </w:r>
      <w:r w:rsidRPr="0061570B">
        <w:rPr>
          <w:b/>
          <w:szCs w:val="24"/>
          <w:lang w:val="en-GB"/>
        </w:rPr>
        <w:t>Figure 5</w:t>
      </w:r>
      <w:r w:rsidRPr="00100F23">
        <w:rPr>
          <w:lang w:val="en-CA"/>
        </w:rPr>
        <w:fldChar w:fldCharType="end"/>
      </w:r>
      <w:r w:rsidRPr="00BD14BD">
        <w:rPr>
          <w:lang w:val="en-CA"/>
        </w:rPr>
        <w:t>); however, dispersal was the main factor driving FPR for time gaps associated with post-event sampling (</w:t>
      </w:r>
      <w:r w:rsidRPr="00100F23">
        <w:rPr>
          <w:lang w:val="en-CA"/>
        </w:rPr>
        <w:fldChar w:fldCharType="begin"/>
      </w:r>
      <w:r w:rsidRPr="00100F23">
        <w:rPr>
          <w:lang w:val="en-CA"/>
        </w:rPr>
        <w:instrText xml:space="preserve"> REF _Ref81346002 \h  \* MERGEFORMAT </w:instrText>
      </w:r>
      <w:r w:rsidRPr="00100F23">
        <w:rPr>
          <w:lang w:val="en-CA"/>
        </w:rPr>
      </w:r>
      <w:r w:rsidRPr="00100F23">
        <w:rPr>
          <w:lang w:val="en-CA"/>
        </w:rPr>
        <w:fldChar w:fldCharType="separate"/>
      </w:r>
      <w:r w:rsidRPr="0061570B">
        <w:rPr>
          <w:b/>
          <w:szCs w:val="24"/>
          <w:lang w:val="en-GB"/>
        </w:rPr>
        <w:t>Figu</w:t>
      </w:r>
      <w:r w:rsidRPr="0061570B">
        <w:rPr>
          <w:b/>
          <w:szCs w:val="24"/>
          <w:lang w:val="en-GB"/>
        </w:rPr>
        <w:t>r</w:t>
      </w:r>
      <w:r w:rsidRPr="0061570B">
        <w:rPr>
          <w:b/>
          <w:szCs w:val="24"/>
          <w:lang w:val="en-GB"/>
        </w:rPr>
        <w:t>e 5</w:t>
      </w:r>
      <w:r w:rsidRPr="00100F23">
        <w:rPr>
          <w:lang w:val="en-CA"/>
        </w:rPr>
        <w:fldChar w:fldCharType="end"/>
      </w:r>
      <w:r w:rsidRPr="00BD14BD">
        <w:rPr>
          <w:lang w:val="en-CA"/>
        </w:rPr>
        <w:t>). The strong relationship that we observed between FPR and the number of populations affected by the demographic event therefore became less pronounced as dispersal became more influential. As with the FNR, the FPR did not change much for the L1 scenario and changed the most dramatically for the H3 scenario (</w:t>
      </w:r>
      <w:r w:rsidRPr="00100F23">
        <w:rPr>
          <w:lang w:val="en-CA"/>
        </w:rPr>
        <w:fldChar w:fldCharType="begin"/>
      </w:r>
      <w:r w:rsidRPr="00100F23">
        <w:rPr>
          <w:lang w:val="en-CA"/>
        </w:rPr>
        <w:instrText xml:space="preserve"> REF _Ref81346002 \h  \* MERGEFORMAT </w:instrText>
      </w:r>
      <w:r w:rsidRPr="00100F23">
        <w:rPr>
          <w:lang w:val="en-CA"/>
        </w:rPr>
      </w:r>
      <w:r w:rsidRPr="00100F23">
        <w:rPr>
          <w:lang w:val="en-CA"/>
        </w:rPr>
        <w:fldChar w:fldCharType="separate"/>
      </w:r>
      <w:r w:rsidRPr="0061570B">
        <w:rPr>
          <w:b/>
          <w:szCs w:val="24"/>
          <w:lang w:val="en-GB"/>
        </w:rPr>
        <w:t>Figure 5</w:t>
      </w:r>
      <w:r w:rsidRPr="00100F23">
        <w:rPr>
          <w:lang w:val="en-CA"/>
        </w:rPr>
        <w:fldChar w:fldCharType="end"/>
      </w:r>
      <w:r w:rsidRPr="00BD14BD">
        <w:rPr>
          <w:lang w:val="en-CA"/>
        </w:rPr>
        <w:t>)</w:t>
      </w:r>
      <w:r>
        <w:rPr>
          <w:lang w:val="en-CA"/>
        </w:rPr>
        <w:t>. These</w:t>
      </w:r>
      <w:r w:rsidRPr="00BD14BD">
        <w:rPr>
          <w:lang w:val="en-CA"/>
        </w:rPr>
        <w:t xml:space="preserve"> differences in how time affects our two most extreme scenarios </w:t>
      </w:r>
      <w:r>
        <w:rPr>
          <w:lang w:val="en-CA"/>
        </w:rPr>
        <w:t xml:space="preserve">is </w:t>
      </w:r>
      <w:r w:rsidRPr="00BD14BD">
        <w:rPr>
          <w:lang w:val="en-CA"/>
        </w:rPr>
        <w:t>a useful consideration for potential TGI users.</w:t>
      </w:r>
    </w:p>
    <w:p w14:paraId="57FA0289" w14:textId="3FD788AC" w:rsidR="008D3B5A" w:rsidRPr="00BD14BD" w:rsidRDefault="008D3B5A" w:rsidP="004775A3">
      <w:pPr>
        <w:spacing w:line="480" w:lineRule="auto"/>
        <w:rPr>
          <w:lang w:val="en-CA"/>
        </w:rPr>
      </w:pPr>
      <w:r w:rsidRPr="00BD14BD">
        <w:rPr>
          <w:lang w:val="en-CA"/>
        </w:rPr>
        <w:t xml:space="preserve">The simulation that was most likely to preserve the signal of the demographic event was the low-dispersal scenario with a single affected population (L1). In this scenario, the TGI </w:t>
      </w:r>
      <w:r w:rsidRPr="00BD14BD">
        <w:rPr>
          <w:lang w:val="en-CA"/>
        </w:rPr>
        <w:lastRenderedPageBreak/>
        <w:t xml:space="preserve">approach was still able to keep false negatives below 15% and false positives below 10%, even when the second </w:t>
      </w:r>
      <w:r>
        <w:rPr>
          <w:lang w:val="en-CA"/>
        </w:rPr>
        <w:t>survey</w:t>
      </w:r>
      <w:r w:rsidRPr="00BD14BD">
        <w:rPr>
          <w:lang w:val="en-CA"/>
        </w:rPr>
        <w:t xml:space="preserve"> was done nine generations after the event </w:t>
      </w:r>
      <w:r w:rsidRPr="00100F23">
        <w:rPr>
          <w:lang w:val="en-CA"/>
        </w:rPr>
        <w:t>(</w:t>
      </w:r>
      <w:r w:rsidRPr="00100F23">
        <w:rPr>
          <w:lang w:val="en-CA"/>
        </w:rPr>
        <w:fldChar w:fldCharType="begin"/>
      </w:r>
      <w:r w:rsidRPr="00100F23">
        <w:rPr>
          <w:lang w:val="en-CA"/>
        </w:rPr>
        <w:instrText xml:space="preserve"> REF _Ref81345996 \h  \* MERGEFORMAT </w:instrText>
      </w:r>
      <w:r w:rsidRPr="00100F23">
        <w:rPr>
          <w:lang w:val="en-CA"/>
        </w:rPr>
      </w:r>
      <w:r w:rsidRPr="00100F23">
        <w:rPr>
          <w:lang w:val="en-CA"/>
        </w:rPr>
        <w:fldChar w:fldCharType="separate"/>
      </w:r>
      <w:r w:rsidRPr="0061570B">
        <w:rPr>
          <w:b/>
          <w:szCs w:val="24"/>
          <w:lang w:val="en-GB"/>
        </w:rPr>
        <w:t>Figure 4</w:t>
      </w:r>
      <w:r w:rsidRPr="00100F23">
        <w:rPr>
          <w:lang w:val="en-CA"/>
        </w:rPr>
        <w:fldChar w:fldCharType="end"/>
      </w:r>
      <w:r w:rsidRPr="00100F23">
        <w:rPr>
          <w:lang w:val="en-CA"/>
        </w:rPr>
        <w:t xml:space="preserve">, </w:t>
      </w:r>
      <w:r w:rsidRPr="00100F23">
        <w:rPr>
          <w:lang w:val="en-CA"/>
        </w:rPr>
        <w:fldChar w:fldCharType="begin"/>
      </w:r>
      <w:r w:rsidRPr="00100F23">
        <w:rPr>
          <w:lang w:val="en-CA"/>
        </w:rPr>
        <w:instrText xml:space="preserve"> REF _Ref81346002 \h  \* MERGEFORMAT </w:instrText>
      </w:r>
      <w:r w:rsidRPr="00100F23">
        <w:rPr>
          <w:lang w:val="en-CA"/>
        </w:rPr>
      </w:r>
      <w:r w:rsidRPr="00100F23">
        <w:rPr>
          <w:lang w:val="en-CA"/>
        </w:rPr>
        <w:fldChar w:fldCharType="separate"/>
      </w:r>
      <w:r w:rsidRPr="0061570B">
        <w:rPr>
          <w:b/>
          <w:szCs w:val="24"/>
          <w:lang w:val="en-GB"/>
        </w:rPr>
        <w:t>Figure 5</w:t>
      </w:r>
      <w:r w:rsidRPr="00100F23">
        <w:rPr>
          <w:lang w:val="en-CA"/>
        </w:rPr>
        <w:fldChar w:fldCharType="end"/>
      </w:r>
      <w:r w:rsidRPr="00100F23">
        <w:rPr>
          <w:lang w:val="en-CA"/>
        </w:rPr>
        <w:t>)</w:t>
      </w:r>
      <w:r w:rsidRPr="00BD14BD">
        <w:rPr>
          <w:lang w:val="en-CA"/>
        </w:rPr>
        <w:t xml:space="preserve"> and regardless of whether the first or second </w:t>
      </w:r>
      <w:r>
        <w:rPr>
          <w:lang w:val="en-CA"/>
        </w:rPr>
        <w:t>survey</w:t>
      </w:r>
      <w:r w:rsidRPr="00BD14BD">
        <w:rPr>
          <w:lang w:val="en-CA"/>
        </w:rPr>
        <w:t xml:space="preserve"> was responsible for the time lag</w:t>
      </w:r>
      <w:r>
        <w:rPr>
          <w:lang w:val="en-CA"/>
        </w:rPr>
        <w:t xml:space="preserve"> with the event</w:t>
      </w:r>
      <w:r w:rsidRPr="00BD14BD">
        <w:rPr>
          <w:lang w:val="en-CA"/>
        </w:rPr>
        <w:t xml:space="preserve">. </w:t>
      </w:r>
    </w:p>
    <w:p w14:paraId="2D40377C" w14:textId="77777777" w:rsidR="008D3B5A" w:rsidRPr="00BD14BD" w:rsidRDefault="008D3B5A" w:rsidP="004775A3">
      <w:pPr>
        <w:pStyle w:val="Heading4"/>
        <w:spacing w:line="480" w:lineRule="auto"/>
        <w:rPr>
          <w:lang w:val="en-CA"/>
        </w:rPr>
      </w:pPr>
      <w:bookmarkStart w:id="34" w:name="_Toc79591406"/>
      <w:bookmarkStart w:id="35" w:name="_Toc81356481"/>
      <w:r w:rsidRPr="00BD14BD">
        <w:rPr>
          <w:lang w:val="en-CA"/>
        </w:rPr>
        <w:t>3.4. Thresholds</w:t>
      </w:r>
      <w:bookmarkEnd w:id="34"/>
      <w:bookmarkEnd w:id="35"/>
    </w:p>
    <w:p w14:paraId="139D513D" w14:textId="77777777" w:rsidR="008D3B5A" w:rsidRPr="00BD14BD" w:rsidRDefault="008D3B5A" w:rsidP="004775A3">
      <w:pPr>
        <w:spacing w:line="480" w:lineRule="auto"/>
        <w:rPr>
          <w:lang w:val="en-CA"/>
        </w:rPr>
      </w:pPr>
      <w:r w:rsidRPr="00BD14BD">
        <w:rPr>
          <w:lang w:val="en-CA"/>
        </w:rPr>
        <w:t>A trade-off based on significance threshold values between FNR and FPR was present across scenarios. FNR values decreased with the chosen significance threshold, with a sharp decrease (most notable for H3) before 0.025 followed by a slower decrease until 0.1. FPR values increased with the chosen significance threshold, with a sharp increase at low thresholds followed by a continued but saturating increase until p ≤ 0.10.</w:t>
      </w:r>
    </w:p>
    <w:p w14:paraId="154245B0" w14:textId="77777777" w:rsidR="008D3B5A" w:rsidRPr="00BD14BD" w:rsidRDefault="008D3B5A" w:rsidP="004775A3">
      <w:pPr>
        <w:pStyle w:val="Heading4"/>
        <w:spacing w:line="480" w:lineRule="auto"/>
        <w:rPr>
          <w:lang w:val="en-CA"/>
        </w:rPr>
      </w:pPr>
      <w:bookmarkStart w:id="36" w:name="_Toc79591407"/>
      <w:bookmarkStart w:id="37" w:name="_Toc81356482"/>
      <w:r w:rsidRPr="00BD14BD">
        <w:rPr>
          <w:lang w:val="en-CA"/>
        </w:rPr>
        <w:t>3.5. Applied example</w:t>
      </w:r>
      <w:bookmarkEnd w:id="36"/>
      <w:bookmarkEnd w:id="37"/>
    </w:p>
    <w:p w14:paraId="2A783114" w14:textId="77777777" w:rsidR="008D3B5A" w:rsidRPr="00BD14BD" w:rsidRDefault="008D3B5A" w:rsidP="004775A3">
      <w:pPr>
        <w:spacing w:line="480" w:lineRule="auto"/>
        <w:rPr>
          <w:lang w:val="en-CA"/>
        </w:rPr>
      </w:pPr>
      <w:r w:rsidRPr="00BD14BD">
        <w:rPr>
          <w:lang w:val="en-CA"/>
        </w:rPr>
        <w:t>The Northern tidewater goby (</w:t>
      </w:r>
      <w:proofErr w:type="spellStart"/>
      <w:r w:rsidRPr="00BD14BD">
        <w:rPr>
          <w:i/>
          <w:lang w:val="en-CA"/>
        </w:rPr>
        <w:t>Eucyclogobius</w:t>
      </w:r>
      <w:proofErr w:type="spellEnd"/>
      <w:r w:rsidRPr="00BD14BD">
        <w:rPr>
          <w:i/>
          <w:lang w:val="en-CA"/>
        </w:rPr>
        <w:t xml:space="preserve"> </w:t>
      </w:r>
      <w:proofErr w:type="spellStart"/>
      <w:r w:rsidRPr="00BD14BD">
        <w:rPr>
          <w:i/>
          <w:lang w:val="en-CA"/>
        </w:rPr>
        <w:t>newberryi</w:t>
      </w:r>
      <w:proofErr w:type="spellEnd"/>
      <w:r w:rsidRPr="00BD14BD">
        <w:rPr>
          <w:lang w:val="en-CA"/>
        </w:rPr>
        <w:t xml:space="preserve">) is a small, endangered fish that lives in brackish estuaries and lagoons along the coast of California. This species represents an interesting model for population genetic studies because dispersal between suitable habitat patches only occurs during rare, discrete events. A previous study investigated extinction–colonization dynamics in the tidewater goby by evaluating genetic diversity across the landscape at several points in time </w:t>
      </w:r>
      <w:r w:rsidRPr="00BD14BD">
        <w:rPr>
          <w:lang w:val="en-CA"/>
        </w:rPr>
        <w:fldChar w:fldCharType="begin" w:fldLock="1"/>
      </w:r>
      <w:r w:rsidRPr="00BD14BD">
        <w:rPr>
          <w:lang w:val="en-CA"/>
        </w:rPr>
        <w:instrText>ADDIN CSL_CITATION {"citationItems":[{"id":"ITEM-1","itemData":{"DOI":"10.1111/mec.13424","ISSN":"1365294X","abstract":"Extinction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Ecology","id":"ITEM-1","issue":"22","issued":{"date-parts":[["2015"]]},"page":"5544-5560","title":"Temporal genetic analysis of the endangered tidewater goby: Extinction-colonization dynamics or drift in isolation?","type":"article-journal","volume":"24"},"uris":["http://www.mendeley.com/documents/?uuid=94170e91-385b-4397-a362-e735e6da69fe"]}],"mendeley":{"formattedCitation":"(Kinziger et al. 2015)","plainTextFormattedCitation":"(Kinziger et al. 2015)","previouslyFormattedCitation":"(Kinziger et al. 2015)"},"properties":{"noteIndex":0},"schema":"https://github.com/citation-style-language/schema/raw/master/csl-citation.json"}</w:instrText>
      </w:r>
      <w:r w:rsidRPr="00BD14BD">
        <w:rPr>
          <w:lang w:val="en-CA"/>
        </w:rPr>
        <w:fldChar w:fldCharType="separate"/>
      </w:r>
      <w:r w:rsidRPr="00BD14BD">
        <w:rPr>
          <w:noProof/>
          <w:lang w:val="en-CA"/>
        </w:rPr>
        <w:t>(Kinziger et al. 2015)</w:t>
      </w:r>
      <w:r w:rsidRPr="00BD14BD">
        <w:rPr>
          <w:lang w:val="en-CA"/>
        </w:rPr>
        <w:fldChar w:fldCharType="end"/>
      </w:r>
      <w:r w:rsidRPr="00BD14BD">
        <w:rPr>
          <w:lang w:val="en-CA"/>
        </w:rPr>
        <w:t xml:space="preserve">. These authors suggested that the Elk River goby population had experienced unexpected temporal genetic change between 2006 and 2011 </w:t>
      </w:r>
      <w:r w:rsidRPr="00BD14BD">
        <w:rPr>
          <w:lang w:val="en-CA"/>
        </w:rPr>
        <w:fldChar w:fldCharType="begin" w:fldLock="1"/>
      </w:r>
      <w:r w:rsidRPr="00BD14BD">
        <w:rPr>
          <w:lang w:val="en-CA"/>
        </w:rPr>
        <w:instrText>ADDIN CSL_CITATION {"citationItems":[{"id":"ITEM-1","itemData":{"DOI":"10.1111/mec.13424","ISSN":"1365294X","abstract":"Extinction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Ecology","id":"ITEM-1","issue":"22","issued":{"date-parts":[["2015"]]},"page":"5544-5560","title":"Temporal genetic analysis of the endangered tidewater goby: Extinction-colonization dynamics or drift in isolation?","type":"article-journal","volume":"24"},"uris":["http://www.mendeley.com/documents/?uuid=94170e91-385b-4397-a362-e735e6da69fe"]}],"mendeley":{"formattedCitation":"(Kinziger et al. 2015)","plainTextFormattedCitation":"(Kinziger et al. 2015)","previouslyFormattedCitation":"(Kinziger et al. 2015)"},"properties":{"noteIndex":0},"schema":"https://github.com/citation-style-language/schema/raw/master/csl-citation.json"}</w:instrText>
      </w:r>
      <w:r w:rsidRPr="00BD14BD">
        <w:rPr>
          <w:lang w:val="en-CA"/>
        </w:rPr>
        <w:fldChar w:fldCharType="separate"/>
      </w:r>
      <w:r w:rsidRPr="00BD14BD">
        <w:rPr>
          <w:noProof/>
          <w:lang w:val="en-CA"/>
        </w:rPr>
        <w:t>(Kinziger et al. 2015)</w:t>
      </w:r>
      <w:r w:rsidRPr="00BD14BD">
        <w:rPr>
          <w:lang w:val="en-CA"/>
        </w:rPr>
        <w:fldChar w:fldCharType="end"/>
      </w:r>
      <w:r w:rsidRPr="00BD14BD">
        <w:rPr>
          <w:lang w:val="en-CA"/>
        </w:rPr>
        <w:t>. We used the TGI method to re-analyse these data and determine if significant temporal genetic changes had indeed occurred in any population in this landscape.</w:t>
      </w:r>
    </w:p>
    <w:p w14:paraId="5FFF9252" w14:textId="2DB79E93" w:rsidR="008D3B5A" w:rsidRPr="00BD14BD" w:rsidRDefault="008D3B5A" w:rsidP="004775A3">
      <w:pPr>
        <w:spacing w:line="480" w:lineRule="auto"/>
        <w:rPr>
          <w:lang w:val="en-CA"/>
        </w:rPr>
      </w:pPr>
      <w:r w:rsidRPr="00BD14BD">
        <w:rPr>
          <w:lang w:val="en-CA"/>
        </w:rPr>
        <w:lastRenderedPageBreak/>
        <w:t xml:space="preserve">Using our TGI measure, we found that the genetic structure of the Elk River population </w:t>
      </w:r>
      <w:r w:rsidRPr="005D05D0">
        <w:rPr>
          <w:lang w:val="en-CA"/>
        </w:rPr>
        <w:t>(</w:t>
      </w:r>
      <w:r w:rsidRPr="005D05D0">
        <w:rPr>
          <w:lang w:val="en-CA"/>
        </w:rPr>
        <w:fldChar w:fldCharType="begin"/>
      </w:r>
      <w:r w:rsidRPr="005D05D0">
        <w:rPr>
          <w:lang w:val="en-CA"/>
        </w:rPr>
        <w:instrText xml:space="preserve"> REF _Ref81359940 \h  \* MERGEFORMAT </w:instrText>
      </w:r>
      <w:r w:rsidRPr="005D05D0">
        <w:rPr>
          <w:lang w:val="en-CA"/>
        </w:rPr>
      </w:r>
      <w:r w:rsidRPr="005D05D0">
        <w:rPr>
          <w:lang w:val="en-CA"/>
        </w:rPr>
        <w:fldChar w:fldCharType="separate"/>
      </w:r>
      <w:r w:rsidRPr="0061570B">
        <w:rPr>
          <w:b/>
          <w:bCs w:val="0"/>
          <w:szCs w:val="24"/>
          <w:lang w:val="en-GB"/>
        </w:rPr>
        <w:t>Supp. Mat. 3</w:t>
      </w:r>
      <w:r w:rsidRPr="005D05D0">
        <w:rPr>
          <w:lang w:val="en-CA"/>
        </w:rPr>
        <w:fldChar w:fldCharType="end"/>
      </w:r>
      <w:r w:rsidRPr="00BD14BD">
        <w:rPr>
          <w:lang w:val="en-CA"/>
        </w:rPr>
        <w:t xml:space="preserve">) of Northern tidewater goby </w:t>
      </w:r>
      <w:r w:rsidRPr="00BD14BD">
        <w:rPr>
          <w:lang w:val="en-CA"/>
        </w:rPr>
        <w:fldChar w:fldCharType="begin" w:fldLock="1"/>
      </w:r>
      <w:r w:rsidRPr="00BD14BD">
        <w:rPr>
          <w:lang w:val="en-CA"/>
        </w:rPr>
        <w:instrText>ADDIN CSL_CITATION {"citationItems":[{"id":"ITEM-1","itemData":{"DOI":"10.1111/mec.13424","ISSN":"1365294X","abstract":"Extinction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Ecology","id":"ITEM-1","issue":"22","issued":{"date-parts":[["2015"]]},"page":"5544-5560","title":"Temporal genetic analysis of the endangered tidewater goby: Extinction-colonization dynamics or drift in isolation?","type":"article-journal","volume":"24"},"uris":["http://www.mendeley.com/documents/?uuid=94170e91-385b-4397-a362-e735e6da69fe"]}],"mendeley":{"formattedCitation":"(Kinziger et al. 2015)","plainTextFormattedCitation":"(Kinziger et al. 2015)","previouslyFormattedCitation":"(Kinziger et al. 2015)"},"properties":{"noteIndex":0},"schema":"https://github.com/citation-style-language/schema/raw/master/csl-citation.json"}</w:instrText>
      </w:r>
      <w:r w:rsidRPr="00BD14BD">
        <w:rPr>
          <w:lang w:val="en-CA"/>
        </w:rPr>
        <w:fldChar w:fldCharType="separate"/>
      </w:r>
      <w:r w:rsidRPr="00BD14BD">
        <w:rPr>
          <w:noProof/>
          <w:lang w:val="en-CA"/>
        </w:rPr>
        <w:t>(Kinziger et al. 2015)</w:t>
      </w:r>
      <w:r w:rsidRPr="00BD14BD">
        <w:rPr>
          <w:lang w:val="en-CA"/>
        </w:rPr>
        <w:fldChar w:fldCharType="end"/>
      </w:r>
      <w:r w:rsidRPr="00BD14BD">
        <w:rPr>
          <w:lang w:val="en-CA"/>
        </w:rPr>
        <w:t xml:space="preserve"> had indeed changed significantly relative to the other populations surveyed in the study area (permutation </w:t>
      </w:r>
      <w:r w:rsidRPr="00BD14BD">
        <w:rPr>
          <w:i/>
          <w:iCs/>
          <w:lang w:val="en-CA"/>
        </w:rPr>
        <w:t>p</w:t>
      </w:r>
      <w:r w:rsidRPr="00BD14BD">
        <w:rPr>
          <w:lang w:val="en-CA"/>
        </w:rPr>
        <w:t xml:space="preserve">-value = 0.0004), even after using strict </w:t>
      </w:r>
      <w:r w:rsidRPr="00BD14BD">
        <w:rPr>
          <w:i/>
          <w:iCs/>
          <w:lang w:val="en-CA"/>
        </w:rPr>
        <w:t>p</w:t>
      </w:r>
      <w:r w:rsidRPr="00BD14BD">
        <w:rPr>
          <w:lang w:val="en-CA"/>
        </w:rPr>
        <w:t xml:space="preserve">-value adjustments (Holm-Bonferroni adjusted permutation </w:t>
      </w:r>
      <w:r w:rsidRPr="00BD14BD">
        <w:rPr>
          <w:i/>
          <w:iCs/>
          <w:lang w:val="en-CA"/>
        </w:rPr>
        <w:t>p</w:t>
      </w:r>
      <w:r w:rsidRPr="00BD14BD">
        <w:rPr>
          <w:lang w:val="en-CA"/>
        </w:rPr>
        <w:t xml:space="preserve">-value = 0.0032). The average expected heterozygosity decreased by 0.046 in the Elk River population from an original value of 0.2646, which represents a loss of around 17%. Using TGI, we were able to </w:t>
      </w:r>
      <w:r>
        <w:rPr>
          <w:lang w:val="en-CA"/>
        </w:rPr>
        <w:t>quantify</w:t>
      </w:r>
      <w:r w:rsidRPr="00BD14BD">
        <w:rPr>
          <w:lang w:val="en-CA"/>
        </w:rPr>
        <w:t xml:space="preserve"> the qualitative findings of the previous study that there was a loss of genetic diversity in the Elk River population.</w:t>
      </w:r>
    </w:p>
    <w:p w14:paraId="6A9D4D9F" w14:textId="77777777" w:rsidR="008D3B5A" w:rsidRPr="00310630" w:rsidRDefault="008D3B5A" w:rsidP="008D3B5A">
      <w:pPr>
        <w:pStyle w:val="Heading3"/>
        <w:rPr>
          <w:lang w:val="en-GB"/>
        </w:rPr>
      </w:pPr>
      <w:bookmarkStart w:id="38" w:name="_Toc79591408"/>
      <w:bookmarkStart w:id="39" w:name="_Toc81356483"/>
      <w:r w:rsidRPr="00310630">
        <w:rPr>
          <w:lang w:val="en-GB"/>
        </w:rPr>
        <w:t>4. Discussion</w:t>
      </w:r>
      <w:bookmarkEnd w:id="38"/>
      <w:bookmarkEnd w:id="39"/>
    </w:p>
    <w:p w14:paraId="2FB7B3F0" w14:textId="77777777" w:rsidR="008D3B5A" w:rsidRPr="00BD14BD" w:rsidRDefault="008D3B5A" w:rsidP="004775A3">
      <w:pPr>
        <w:spacing w:line="480" w:lineRule="auto"/>
        <w:rPr>
          <w:lang w:val="en-CA"/>
        </w:rPr>
      </w:pPr>
      <w:r w:rsidRPr="00BD14BD">
        <w:rPr>
          <w:lang w:val="en-CA"/>
        </w:rPr>
        <w:t xml:space="preserve">In this study, we investigated how dispersal, the spatial extent of a demographic event, and the timing of sampling affected our ability to identify populations that have experienced significant changes in genetic diversity using a novel statistical tool: TGI. The factors we chose to investigate are directly relevant to conservation studies. Dispersal is a key element in understanding population connectivity </w:t>
      </w:r>
      <w:r w:rsidRPr="00BD14BD">
        <w:rPr>
          <w:lang w:val="en-CA"/>
        </w:rPr>
        <w:fldChar w:fldCharType="begin" w:fldLock="1"/>
      </w:r>
      <w:r w:rsidRPr="00BD14BD">
        <w:rPr>
          <w:lang w:val="en-CA"/>
        </w:rPr>
        <w:instrText>ADDIN CSL_CITATION {"citationItems":[{"id":"ITEM-1","itemData":{"DOI":"10.1007/s10980-012-9819-z","ISBN":"0921-2973","ISSN":"09212973","abstract":"Connectivity is a vital component of metapopulation and landscape ecology, influencing fundamental processes such as population dynamics, evolution, and community responses to climate change. Here, we review ongoing developments in connectivity science, providing perspectives on recent advances in identifying, quantifying, modelling and analysing connectivity, and highlight new applications for conservation. We also address ongoing challenges for connectivity research, explore opportunities for addressing them and highlight potential linkages with other fields of research. Continued development of connectivity science will provide insights into key aspects of ecology and the evolution of species, and will also contribute significantly towards achieving more effective conservation outcomes.","author":[{"dropping-particle":"","family":"Kool","given":"Johnathan T.","non-dropping-particle":"","parse-names":false,"suffix":""},{"dropping-particle":"","family":"Moilanen","given":"Atte","non-dropping-particle":"","parse-names":false,"suffix":""},{"dropping-particle":"","family":"Treml","given":"Eric A.","non-dropping-particle":"","parse-names":false,"suffix":""}],"container-title":"Landscape Ecology","id":"ITEM-1","issue":"2","issued":{"date-parts":[["2013"]]},"page":"165-185","title":"Population connectivity: Recent advances and new perspectives","type":"article-journal","volume":"28"},"uris":["http://www.mendeley.com/documents/?uuid=d8b595cc-e1c8-4ee4-8996-c355f6807d4d"]},{"id":"ITEM-2","itemData":{"DOI":"10.1554/05-321.1","ISBN":"1558-5646","ISSN":"0014-3820","PMID":"17017056","abstract":"Despite growing interest in the effects of landscape heterogeneity on genetic structuring, few tools are available to incorporate data on landscape composition into population genetic studies. Analyses of isolation by distance have typically either assumed spatial homogeneity for convenience or applied theoretically unjustified distance metrics to compensate for heterogeneity. Here I propose the isolation-by-resistance (IBR) model as an alternative for predicting equilibrium genetic structuring in complex landscapes. The model predicts a positive relationship between genetic differentiation and the resistance distance, a distance metric that exploits precise relationships between random walk times and effective resistances in electronic networks. As a predictor of genetic differentiation, the resistance distance is both more theoretically justified and more robust to spatial heterogeneity than Euclidean or least cost path-based distance measures. Moreover, the metric can be applied with a wide range of data inputs, including coarse-scale range maps, simple maps of habitat and nonhabitat within a species' range, or complex spatial datasets with habitats and barriers of differing qualities. The IBR model thus provides a flexible and efficient tool to account for habitat het-erogeneity in studies of isolation by distance, improve understanding of how landscape characteristics affect genetic structuring, and predict genetic and evolutionary consequences of landscape change. The emerging study of how landscape features affect mi-croevolutionary processes (landscape genetics; Manel et al. 2003) will require tools that explicitly incorporate landscape heterogeneity into analyses of gene flow and genetic differ-entiation. Landscape characteristics may modify gene flow between pairs of subpopulations directly by affecting dis-persal rates among them or indirectly by affecting the spatial arrangement of and dispersal rates among intervening sub-populations. Yet, few models are capable of integrating land-scape data into predictions of population structure. For example, models of isolation by distance (Wright 1943) are among the most widely applied tools in studies of genetic differentiation in natural populations. These models have provided powerful means to explain population struc-ture (e.g., Rousset 1997, 2000; Sumner et al. 2001; Rueness et al. 2003), investigate departures from migration-drift equi-librium (Slatkin 1993; Hutchison and Templeton 1999), and ad…","author":[{"dropping-particle":"","family":"McRae","given":"Brad H.","non-dropping-particle":"","parse-names":false,"suffix":""}],"container-title":"Evolution.","id":"ITEM-2","issue":"8","issued":{"date-parts":[["2006"]]},"page":"1551-1561","title":"Isolation By Resistance","type":"article-journal","volume":"60"},"uris":["http://www.mendeley.com/documents/?uuid=cbf0be0e-1c53-44e9-8134-62c68b7eff3c"]}],"mendeley":{"formattedCitation":"(Kool et al. 2013; McRae 2006)","plainTextFormattedCitation":"(Kool et al. 2013; McRae 2006)","previouslyFormattedCitation":"(Kool et al. 2013; McRae 2006)"},"properties":{"noteIndex":0},"schema":"https://github.com/citation-style-language/schema/raw/master/csl-citation.json"}</w:instrText>
      </w:r>
      <w:r w:rsidRPr="00BD14BD">
        <w:rPr>
          <w:lang w:val="en-CA"/>
        </w:rPr>
        <w:fldChar w:fldCharType="separate"/>
      </w:r>
      <w:r w:rsidRPr="00BD14BD">
        <w:rPr>
          <w:noProof/>
          <w:lang w:val="en-CA"/>
        </w:rPr>
        <w:t>(Kool et al. 2013; McRae 2006)</w:t>
      </w:r>
      <w:r w:rsidRPr="00BD14BD">
        <w:rPr>
          <w:lang w:val="en-CA"/>
        </w:rPr>
        <w:fldChar w:fldCharType="end"/>
      </w:r>
      <w:r w:rsidRPr="00BD14BD">
        <w:rPr>
          <w:lang w:val="en-CA"/>
        </w:rPr>
        <w:t xml:space="preserve">. </w:t>
      </w:r>
      <w:r>
        <w:rPr>
          <w:lang w:val="en-CA"/>
        </w:rPr>
        <w:t>The s</w:t>
      </w:r>
      <w:r w:rsidRPr="00BD14BD">
        <w:rPr>
          <w:lang w:val="en-CA"/>
        </w:rPr>
        <w:t xml:space="preserve">patial extent of significant demographic changes is relevant to examine as recent studies have advocated for a more comprehensive integration of space in evolutionary ecology research </w:t>
      </w:r>
      <w:r w:rsidRPr="00BD14BD">
        <w:rPr>
          <w:lang w:val="en-CA"/>
        </w:rPr>
        <w:fldChar w:fldCharType="begin" w:fldLock="1"/>
      </w:r>
      <w:r>
        <w:rPr>
          <w:lang w:val="en-CA"/>
        </w:rPr>
        <w:instrText>ADDIN CSL_CITATION {"citationItems":[{"id":"ITEM-1","itemData":{"DOI":"10.1534/genetics.120.303143","ISBN":"0000000299","ISSN":"19432631","PMID":"32209569","abstract":"Real geography is continuous, but standard models in population genetics are based on discrete, well-mixed populations. As a result, many methods of analyzing genetic data assume that samples are a random draw from a well-mixed population, but are applied to clustered samples from populations that are structured clinally over space. Here, we use simulations of populations living in continuous geography to study the impacts of dispersal and sampling strategy on population genetic summary statistics, demographic inference, and genome-wide association studies (GWAS). We find that most common summary statistics have distributions that differ substantially from those seen in well-mixed populations, especially when Wright's neighborhood size is, 100 and sampling is spatially clustered. “Stepping-stone” models reproduce some of these effects, but discretizing the landscape introduces artifacts that in some cases are exacerbated at higher resolutions. The combination of low dispersal and clustered sampling causes demographic inference from the site frequency spectrum to infer more turbulent demographic histories, but averaged results across multiple simulations revealed surprisingly little systematic bias. We also show that the combination of spatially autocorrelated environments and limited dispersal causes GWAS to identify spurious signals of genetic association with purely environmentally determined phenotypes, and that this bias is only partially corrected by regressing out principal components of ancestry. Last, we discuss the relevance of our simulation results for inference from genetic variation in real organisms.","author":[{"dropping-particle":"","family":"Battey","given":"C. J.","non-dropping-particle":"","parse-names":false,"suffix":""},{"dropping-particle":"","family":"Ralph","given":"Peter L.","non-dropping-particle":"","parse-names":false,"suffix":""},{"dropping-particle":"","family":"Kern","given":"Andrew D.","non-dropping-particle":"","parse-names":false,"suffix":""}],"container-title":"Genetics","id":"ITEM-1","issue":"1","issued":{"date-parts":[["2020"]]},"page":"193-214","title":"Space is the place: Effects of continuous spatial structure on analysis of population genetic data","type":"article-journal","volume":"215"},"uris":["http://www.mendeley.com/documents/?uuid=3498cb82-e066-4ce3-9b28-618ce1db1cc5"]},{"id":"ITEM-2","itemData":{"DOI":"10.1146/annurev-ecolsys-110316-022659","ISSN":"1543-592X","abstract":"Many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Time","type":"article-journal","volume":"50"},"uris":["http://www.mendeley.com/documents/?uuid=8d7ad29f-2932-4ede-b4f6-1ca08c9cfa1b"]},{"id":"ITEM-3","itemData":{"DOI":"10.1111/ecog.01579","ISSN":"16000587","abstract":"Over the last two decades spatial point pattern analysis (SPPA) has become increasingly popular in ecological research. To direct future work in this area we review studies using SPPA techniques in ecology and related disciplines. We first summarize the key elements of SPPA in ecology (i.e., data types, summary statistics and their estimation, null models, comparison of data and models, and consideration of heterogeneity); second, we review how ecologists have used these key elements; and finally, we identify practical difficulties that are still commonly encountered and point to new methods that allow current key questions in ecology to be effectively addressed. Our review of 308 articles published over the period 1992-2012 reveals that a standard canon of SPPA techniques in ecology has been largely identified and that most of the earlier technical issues that occupied ecologists, such as edge correction, have been solved. However, the majority of studies underused the methodological potential offered by modern SPPA. More advanced techniques of SPPA offer the potential to address a variety of highly relevant ecological questions. For example, inhomogeneous summary statistics can quantify the impact of heterogeneous environments, mark correlation function can include trait and phylogenetic information in the analysis of multivariate spatial patterns, and more refined point process models can be used to realistically characterize the structure of a wide range of patterns. Additionally, recent advances in fitting spatially-explicit simulation models of community dynamics to point pattern summary statistics hold the promise for solving the longstanding problem of linking pattern to process. All these newer developments allow ecologists to keep up with the increasing availability of spatial data sets provided by newer technologies, which allow point patterns and environmental variables to be mapped over large spatial extents at increasingly higher image resolutions.","author":[{"dropping-particle":"","family":"Velázquez","given":"Eduardo","non-dropping-particle":"","parse-names":false,"suffix":""},{"dropping-particle":"","family":"Martínez","given":"Isabel","non-dropping-particle":"","parse-names":false,"suffix":""},{"dropping-particle":"","family":"Getzin","given":"Stephan","non-dropping-particle":"","parse-names":false,"suffix":""},{"dropping-particle":"","family":"Moloney","given":"Kirk A.","non-dropping-particle":"","parse-names":false,"suffix":""},{"dropping-particle":"","family":"Wiegand","given":"Thorsten","non-dropping-particle":"","parse-names":false,"suffix":""}],"container-title":"Ecography.","id":"ITEM-3","issue":"11","issued":{"date-parts":[["2016"]]},"page":"1042-1055","title":"An evaluation of the state of spatial point pattern analysis in ecology","type":"article-journal","volume":"39"},"uris":["http://www.mendeley.com/documents/?uuid=d8213886-7641-4e7c-ae3c-da1c47936d2b"]}],"mendeley":{"formattedCitation":"(Battey et al. 2020; Bradburd &amp; Ralph 2019; Velázquez et al. 2016)","plainTextFormattedCitation":"(Battey et al. 2020; Bradburd &amp; Ralph 2019; Velázquez et al. 2016)","previouslyFormattedCitation":"(Battey et al. 2020; Bradburd &amp; Ralph 2019; Velázquez et al. 2016)"},"properties":{"noteIndex":0},"schema":"https://github.com/citation-style-language/schema/raw/master/csl-citation.json"}</w:instrText>
      </w:r>
      <w:r w:rsidRPr="00BD14BD">
        <w:rPr>
          <w:lang w:val="en-CA"/>
        </w:rPr>
        <w:fldChar w:fldCharType="separate"/>
      </w:r>
      <w:r w:rsidRPr="00CE6C83">
        <w:rPr>
          <w:noProof/>
          <w:lang w:val="en-CA"/>
        </w:rPr>
        <w:t>(Battey et al. 2020; Bradburd &amp; Ralph 2019; Velázquez et al. 2016)</w:t>
      </w:r>
      <w:r w:rsidRPr="00BD14BD">
        <w:rPr>
          <w:lang w:val="en-CA"/>
        </w:rPr>
        <w:fldChar w:fldCharType="end"/>
      </w:r>
      <w:r w:rsidRPr="00BD14BD">
        <w:rPr>
          <w:lang w:val="en-CA"/>
        </w:rPr>
        <w:t xml:space="preserve">. </w:t>
      </w:r>
      <w:r>
        <w:rPr>
          <w:lang w:val="en-CA"/>
        </w:rPr>
        <w:t>The timing of sampling is key, first to make sure we capture the effects of a potential disturbance, and second, to better grasp the decay in its legacy signal.</w:t>
      </w:r>
      <w:r w:rsidRPr="00BD14BD">
        <w:rPr>
          <w:lang w:val="en-CA"/>
        </w:rPr>
        <w:t xml:space="preserve"> </w:t>
      </w:r>
    </w:p>
    <w:p w14:paraId="357EDC99" w14:textId="77777777" w:rsidR="008D3B5A" w:rsidRPr="00BD14BD" w:rsidRDefault="008D3B5A" w:rsidP="004775A3">
      <w:pPr>
        <w:pStyle w:val="Heading4"/>
        <w:spacing w:line="480" w:lineRule="auto"/>
        <w:rPr>
          <w:lang w:val="en-CA"/>
        </w:rPr>
      </w:pPr>
      <w:bookmarkStart w:id="40" w:name="_Toc79591409"/>
      <w:bookmarkStart w:id="41" w:name="_Toc81356484"/>
      <w:r w:rsidRPr="00BD14BD">
        <w:rPr>
          <w:lang w:val="en-CA"/>
        </w:rPr>
        <w:t>4.1. TGI: a new and useful framework</w:t>
      </w:r>
      <w:bookmarkEnd w:id="40"/>
      <w:bookmarkEnd w:id="41"/>
    </w:p>
    <w:p w14:paraId="5EE1AE53" w14:textId="77777777" w:rsidR="008D3B5A" w:rsidRPr="00BD14BD" w:rsidRDefault="008D3B5A" w:rsidP="004775A3">
      <w:pPr>
        <w:spacing w:line="480" w:lineRule="auto"/>
        <w:rPr>
          <w:lang w:val="en-CA"/>
        </w:rPr>
      </w:pPr>
      <w:r w:rsidRPr="00BD14BD">
        <w:rPr>
          <w:lang w:val="en-CA"/>
        </w:rPr>
        <w:lastRenderedPageBreak/>
        <w:t xml:space="preserve">TGI provides a novel and robust framework for testing whether observed changes in genetic diversity through time are significant relative to variation associated with genetic drift, local gene flow, and mutation. Our successful application of TBI to genetic data involved translating a site-by-species approach to a site-by-genotype approach and changing the permutation algorithm to accommodate the specific structure of various genetic data formats such as SNPs in our simulations and microsatellites in our application. In addition to describing our new framework, we also evaluated its power and specificity and found that TGI is functional over a wide range of parameter values. One main contrast between our new TGI approach and previous investigations of the performance of TBI </w:t>
      </w:r>
      <w:r w:rsidRPr="00BD14BD">
        <w:rPr>
          <w:lang w:val="en-CA"/>
        </w:rPr>
        <w:fldChar w:fldCharType="begin" w:fldLock="1"/>
      </w:r>
      <w:r w:rsidRPr="00BD14BD">
        <w:rPr>
          <w:lang w:val="en-CA"/>
        </w:rPr>
        <w:instrText>ADDIN CSL_CITATION {"citationItems":[{"id":"ITEM-1","itemData":{"DOI":"10.1002/ece3.4984","ISSN":"20457758","abstract":"Aim: This paper presents the statistical bases for temporal beta-diversity analysis, a method to study changes in community composition through time from repeated surveys at several sites. Surveys of that type are presently done by ecologists around the world. A temporal beta-diversity Index (TBI) is computed for each site, measuring the change in species composition between the first (T1) and second surveys (T2). TBI indices can be decomposed into losses and gains; they can also be tested for significance, allowing one to identify the sites that have changed in composition in exceptional ways. This method will be of value to identify exceptional sites in space–time surveys carried out to study anthropogenic impacts, including climate change. Innovation: The null hypothesis of the TBI test is that a species assemblage is not exceptionally different between T1 and T2, compared to assemblages that could have been observed at this site at T1 and T2 under conditions corresponding to H 0 . Tests of significance of coefficients in a dissimilarity matrix are usually not possible because the values in the matrix are interrelated. Here, however, the dissimilarity between T1 and T2 for a site is computed with different data from the dissimilarities used for the T1–T2 comparison at other sites. It is thus possible to compute a valid test of significance in that case. In addition, the paper shows how TBI dissimilarities can be decomposed into loss and gain components (of species, or abundances-per-species) and how a B–C plot can be produced from these components, which informs users about the processes of biodiversity losses and gains through time in space–time survey data. Main conclusion: Three applications of the method to different ecological communities are presented. This method is applicable worldwide to all types of communities, marine, and terrestrial.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surveys","type":"article-journal","volume":"9"},"uris":["http://www.mendeley.com/documents/?uuid=dd75eef2-6999-4a63-9fac-ee5c428095c8"]},{"id":"ITEM-2","itemData":{"DOI":"10.1111/geb.12640","ISSN":"14668238","abstract":"© 2017 John Wiley  &amp;  Sons Ltd Aim: Understanding the magnitude and drivers of freshwater diversity over the last 150 years provides essential insights for developing scenarios of future change. Here, we quantify and identify drivers of spatial and temporal beta diversity in diatom assemblages between historical and modern times. Location: United States of America. Major Taxa Studied: Diatoms. Tim Period: pre-AD 1850 and c. 2007. Methods: Using sedimentary genus-level diatom data from 169 lakes and species-level data for 52 lakes, we computed spatial beta diversity across all lakes and within ecoregions for 2007 and pre-AD 1850 time points. We also computed local contributions to beta diversity (LCBD) and analysed them with respect to environmental variables. Total beta diversity was partitioned into replacement and abundance difference components to identify mechanisms possibly responsible for spatial beta at each time point. Temporal beta diversity indices (TBI) were also computed for each lake by comparing the diatom data of all lakes at the time points. TBIs were decomposed into taxon losses and gains to facilitate interpretation. TBIs and their components were related to contemporary land cover. Results: Temporal beta diversity varied significantly as a function of forest cover, with higher temporal beta in lakes from watersheds with contemporary lower  forest cover. Spatial beta diversity was similar between the historical and 2007 time points. Lakes with substantial local contributions to beta diversity were differentiated by water quality and land cover variables at a local scale, but showed no systematic regional pattern. Main conclusions: Spatial beta diversity of diatoms across the U.S.A. does not appear to have changed between pre-AD 1850 and 2007, suggesting that broad-scale land use and hydrological alteration of the landscape has not homogenized these communities. Temporal beta diversity occurred through genus gains and losses and was significantly related to land cover in watersheds. These analyses, pairing spatial and temporal beta diversity, provide insight into the mechanisms maintaining diatom diversity.","author":[{"dropping-particle":"","family":"Winegardner","given":"Amanda K.","non-dropping-particle":"","parse-names":false,"suffix":""},{"dropping-particle":"","family":"Legendre","given":"Pierre","non-dropping-particle":"","parse-names":false,"suffix":""},{"dropping-particle":"","family":"Beisner","given":"Beatrix E.","non-dropping-particle":"","parse-names":false,"suffix":""},{"dropping-particle":"","family":"Gregory-Eaves","given":"Irene","non-dropping-particle":"","parse-names":false,"suffix":""}],"container-title":"Global Ecology and Biogeography","id":"ITEM-2","issue":"11","issued":{"date-parts":[["2017"]]},"page":"1303-1315","title":"Diatom diversity patterns over the past c. 150 years across the conterminous United States of America: Identifying mechanisms behind beta diversity","type":"article-journal","volume":"26"},"uris":["http://www.mendeley.com/documents/?uuid=2cbc4e03-d0df-4f89-bbf5-d6e8062079cc"]}],"mendeley":{"formattedCitation":"(Legendre 2019; Winegardner et al. 2017)","plainTextFormattedCitation":"(Legendre 2019; Winegardner et al. 2017)","previouslyFormattedCitation":"(Legendre 2019; Winegardner et al. 2017)"},"properties":{"noteIndex":0},"schema":"https://github.com/citation-style-language/schema/raw/master/csl-citation.json"}</w:instrText>
      </w:r>
      <w:r w:rsidRPr="00BD14BD">
        <w:rPr>
          <w:lang w:val="en-CA"/>
        </w:rPr>
        <w:fldChar w:fldCharType="separate"/>
      </w:r>
      <w:r w:rsidRPr="00BD14BD">
        <w:rPr>
          <w:noProof/>
          <w:lang w:val="en-CA"/>
        </w:rPr>
        <w:t>(Legendre 2019; Winegardner et al. 2017)</w:t>
      </w:r>
      <w:r w:rsidRPr="00BD14BD">
        <w:rPr>
          <w:lang w:val="en-CA"/>
        </w:rPr>
        <w:fldChar w:fldCharType="end"/>
      </w:r>
      <w:r w:rsidRPr="00BD14BD">
        <w:rPr>
          <w:lang w:val="en-CA"/>
        </w:rPr>
        <w:t>, which was developed for community composition data, is that we also examined how the timing of surveys</w:t>
      </w:r>
      <w:r>
        <w:rPr>
          <w:lang w:val="en-CA"/>
        </w:rPr>
        <w:t>, and its interaction with demographic parameters,</w:t>
      </w:r>
      <w:r w:rsidRPr="00BD14BD">
        <w:rPr>
          <w:lang w:val="en-CA"/>
        </w:rPr>
        <w:t xml:space="preserve"> may affect the downstream conclusions. Our results indicate that TGI consistently and accurately identifies populations that have experienced a demographic event. </w:t>
      </w:r>
    </w:p>
    <w:p w14:paraId="12E990B4" w14:textId="77777777" w:rsidR="008D3B5A" w:rsidRPr="00BD14BD" w:rsidRDefault="008D3B5A" w:rsidP="004775A3">
      <w:pPr>
        <w:pStyle w:val="Heading4"/>
        <w:spacing w:line="480" w:lineRule="auto"/>
        <w:rPr>
          <w:lang w:val="en-CA"/>
        </w:rPr>
      </w:pPr>
      <w:bookmarkStart w:id="42" w:name="_Toc79591410"/>
      <w:bookmarkStart w:id="43" w:name="_Toc81356485"/>
      <w:r w:rsidRPr="00BD14BD">
        <w:rPr>
          <w:lang w:val="en-CA"/>
        </w:rPr>
        <w:t>4.2. Dispersal and spatial extent</w:t>
      </w:r>
      <w:bookmarkEnd w:id="42"/>
      <w:bookmarkEnd w:id="43"/>
    </w:p>
    <w:p w14:paraId="2561081C" w14:textId="451637C6" w:rsidR="008D3B5A" w:rsidRPr="00BD14BD" w:rsidRDefault="008D3B5A" w:rsidP="004775A3">
      <w:pPr>
        <w:spacing w:line="480" w:lineRule="auto"/>
        <w:rPr>
          <w:lang w:val="en-CA"/>
        </w:rPr>
      </w:pPr>
      <w:r w:rsidRPr="00BD14BD">
        <w:rPr>
          <w:lang w:val="en-CA"/>
        </w:rPr>
        <w:t>Detection of temporal genetic changes was sensitive to dispersal; false negatives increased with dispersal capacity, although false positives did not show a clear trend (</w:t>
      </w:r>
      <w:r w:rsidRPr="00100F23">
        <w:rPr>
          <w:lang w:val="en-CA"/>
        </w:rPr>
        <w:fldChar w:fldCharType="begin"/>
      </w:r>
      <w:r w:rsidRPr="00100F23">
        <w:rPr>
          <w:lang w:val="en-CA"/>
        </w:rPr>
        <w:instrText xml:space="preserve"> REF _Ref81345534 \h  \* MERGEFORMAT </w:instrText>
      </w:r>
      <w:r w:rsidRPr="00100F23">
        <w:rPr>
          <w:lang w:val="en-CA"/>
        </w:rPr>
      </w:r>
      <w:r w:rsidRPr="00100F23">
        <w:rPr>
          <w:lang w:val="en-CA"/>
        </w:rPr>
        <w:fldChar w:fldCharType="separate"/>
      </w:r>
      <w:r w:rsidRPr="0061570B">
        <w:rPr>
          <w:b/>
          <w:bCs w:val="0"/>
          <w:szCs w:val="24"/>
          <w:lang w:val="en-GB"/>
        </w:rPr>
        <w:t>Figure 2</w:t>
      </w:r>
      <w:r w:rsidRPr="00100F23">
        <w:rPr>
          <w:lang w:val="en-CA"/>
        </w:rPr>
        <w:fldChar w:fldCharType="end"/>
      </w:r>
      <w:r w:rsidRPr="00100F23">
        <w:rPr>
          <w:lang w:val="en-CA"/>
        </w:rPr>
        <w:t xml:space="preserve">, </w:t>
      </w:r>
      <w:r w:rsidRPr="00100F23">
        <w:rPr>
          <w:lang w:val="en-CA"/>
        </w:rPr>
        <w:fldChar w:fldCharType="begin"/>
      </w:r>
      <w:r w:rsidRPr="00100F23">
        <w:rPr>
          <w:lang w:val="en-CA"/>
        </w:rPr>
        <w:instrText xml:space="preserve"> REF _Ref81345656 \h  \* MERGEFORMAT </w:instrText>
      </w:r>
      <w:r w:rsidRPr="00100F23">
        <w:rPr>
          <w:lang w:val="en-CA"/>
        </w:rPr>
      </w:r>
      <w:r w:rsidRPr="00100F23">
        <w:rPr>
          <w:lang w:val="en-CA"/>
        </w:rPr>
        <w:fldChar w:fldCharType="separate"/>
      </w:r>
      <w:r w:rsidRPr="0061570B">
        <w:rPr>
          <w:b/>
          <w:bCs w:val="0"/>
          <w:szCs w:val="24"/>
          <w:lang w:val="en-GB"/>
        </w:rPr>
        <w:t>Fig</w:t>
      </w:r>
      <w:r w:rsidRPr="0061570B">
        <w:rPr>
          <w:b/>
          <w:bCs w:val="0"/>
          <w:szCs w:val="24"/>
          <w:lang w:val="en-GB"/>
        </w:rPr>
        <w:t>u</w:t>
      </w:r>
      <w:r w:rsidRPr="0061570B">
        <w:rPr>
          <w:b/>
          <w:bCs w:val="0"/>
          <w:szCs w:val="24"/>
          <w:lang w:val="en-GB"/>
        </w:rPr>
        <w:t>re 3</w:t>
      </w:r>
      <w:r w:rsidRPr="00100F23">
        <w:rPr>
          <w:lang w:val="en-CA"/>
        </w:rPr>
        <w:fldChar w:fldCharType="end"/>
      </w:r>
      <w:r w:rsidRPr="00BD14BD">
        <w:rPr>
          <w:lang w:val="en-CA"/>
        </w:rPr>
        <w:t>). The influence of dispersal on the FNR was also affected by the time lag between an event and the subsequent sampling effort; the effects of different dispersal capacities were evident even when surveys were separated by only one generation (i.e., samples were collected immediately before and after the event) and were magnified as the time between surveys increased. The effects of sampling time and dispersal capacity on the FNR suggest that species with high dispersal capacity in well-connected landscapes</w:t>
      </w:r>
      <w:r>
        <w:rPr>
          <w:lang w:val="en-CA"/>
        </w:rPr>
        <w:t xml:space="preserve">, such as many forest pests </w:t>
      </w:r>
      <w:r>
        <w:rPr>
          <w:lang w:val="en-CA"/>
        </w:rPr>
        <w:fldChar w:fldCharType="begin" w:fldLock="1"/>
      </w:r>
      <w:r>
        <w:rPr>
          <w:lang w:val="en-CA"/>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region and substantially changing landscapes. However, landscape features that enhance or limit dispersal during the geographic expansion associated with the outbreak are poorly understood. One of the obstacles in evaluating the effects of landscape features on dispersal is the parameterization of resistance surfaces, which are often constructed based on biased expert opinion or by making assumptions in the calculation of ecological distances. In this study, we assessed the impact of four environmental variables on MPB genetic connectivity across western Canada. We optimized resistance surfaces using genetic algorithms and models of maximum likelihood population effects, based on pairwise genetic distances and ecological distances calculated using random-walk commute-time distances. Unlike other methods for the development of resistance surfaces, this approach does not make a priori assumptions about the direction or shape of the relationships between environmental features and their cost to movement. We found highest support for a composite resistance surface including elevation and climate. These results further the understanding of MPB movement during an outbreak. Additionally, we demonstrated how to use our results for management purposes.","author":[{"dropping-particle":"","family":"Wittische","given":"Julian","non-dropping-particle":"","parse-names":false,"suffix":""},{"dropping-particle":"","family":"Janes","given":"Jasmine K.","non-dropping-particle":"","parse-names":false,"suffix":""},{"dropping-particle":"","family":"James","given":"Patrick M. A.","non-dropping-particle":"","parse-names":false,"suffix":""}],"container-title":"Canadian Journal of Forest Research","id":"ITEM-1","issue":"11","issued":{"date-parts":[["2019"]]},"page":"1339-1348","title":"Modelling landscape genetic connectivity of the mountain pine beetle in western Canada","type":"article-journal","volume":"49"},"uris":["http://www.mendeley.com/documents/?uuid=1b3af457-7489-47ac-9782-0c20d8be0351"]},{"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Applications","id":"ITEM-2","issue":"10","issued":{"date-parts":[["2019"]]},"page":"1931-1945","title":"Temporal variation in spatial genetic structure during population outbreaks: Distinguishing among different potential drivers of spatial synchrony","type":"article-journal","volume":"12"},"uris":["http://www.mendeley.com/documents/?uuid=8e6e6a3b-0d15-4092-888d-62f1f0ed6f84"]}],"mendeley":{"formattedCitation":"(Larroque et al. 2019; Wittische et al. 2019)","manualFormatting":"(e.g., 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Pr>
          <w:lang w:val="en-CA"/>
        </w:rPr>
        <w:fldChar w:fldCharType="separate"/>
      </w:r>
      <w:r w:rsidRPr="00401164">
        <w:rPr>
          <w:noProof/>
          <w:lang w:val="en-CA"/>
        </w:rPr>
        <w:t>(</w:t>
      </w:r>
      <w:r>
        <w:rPr>
          <w:noProof/>
          <w:lang w:val="en-CA"/>
        </w:rPr>
        <w:t xml:space="preserve">e.g., </w:t>
      </w:r>
      <w:r w:rsidRPr="00401164">
        <w:rPr>
          <w:noProof/>
          <w:lang w:val="en-CA"/>
        </w:rPr>
        <w:t>Larroque et al. 2019; Wittische et al. 2019)</w:t>
      </w:r>
      <w:r>
        <w:rPr>
          <w:lang w:val="en-CA"/>
        </w:rPr>
        <w:fldChar w:fldCharType="end"/>
      </w:r>
      <w:r>
        <w:rPr>
          <w:lang w:val="en-CA"/>
        </w:rPr>
        <w:t>,</w:t>
      </w:r>
      <w:r w:rsidRPr="00BD14BD">
        <w:rPr>
          <w:lang w:val="en-CA"/>
        </w:rPr>
        <w:t xml:space="preserve"> might require more frequent sampling to </w:t>
      </w:r>
      <w:r w:rsidRPr="00BD14BD">
        <w:rPr>
          <w:lang w:val="en-CA"/>
        </w:rPr>
        <w:lastRenderedPageBreak/>
        <w:t>overcome the negative effect of gene flow on our ability to correctly identify affected populations.</w:t>
      </w:r>
    </w:p>
    <w:p w14:paraId="1680CEED" w14:textId="77777777" w:rsidR="008D3B5A" w:rsidRPr="00BD14BD" w:rsidRDefault="008D3B5A" w:rsidP="004775A3">
      <w:pPr>
        <w:spacing w:line="480" w:lineRule="auto"/>
        <w:rPr>
          <w:lang w:val="en-CA"/>
        </w:rPr>
      </w:pPr>
      <w:r w:rsidRPr="00BD14BD">
        <w:rPr>
          <w:lang w:val="en-CA"/>
        </w:rPr>
        <w:t>The spatial extent of a demographic event increased our ability to correctly identify populations that have not truly changed (lower FPR), but it also decreased our ability to correctly identify populations that did change (higher FNR). The magnitude of this trade-off varied with dispersal capacity. Although a broader spatial extent may help researchers detect an event, as the chance of sampling an affected population increases, it may also increase the risk of not identifying the genetic legacy of the event at all, especially in high-dispersal landscapes. It is less effective for analyzing gradual, landscape-wide disturbances. In addition, when multiple populations were affected in our simulations, we always chose to affect adjacent populations; we did not investigate whether lowering the degree of spatial autocorrelation</w:t>
      </w:r>
      <w:r>
        <w:rPr>
          <w:lang w:val="en-CA"/>
        </w:rPr>
        <w:t xml:space="preserve"> </w:t>
      </w:r>
      <w:r>
        <w:rPr>
          <w:lang w:val="en-CA"/>
        </w:rPr>
        <w:fldChar w:fldCharType="begin" w:fldLock="1"/>
      </w:r>
      <w:r>
        <w:rPr>
          <w:lang w:val="en-CA"/>
        </w:rPr>
        <w:instrText>ADDIN CSL_CITATION {"citationItems":[{"id":"ITEM-1","itemData":{"author":[{"dropping-particle":"","family":"Dale","given":"Mark R. T.","non-dropping-particle":"","parse-names":false,"suffix":""},{"dropping-particle":"","family":"Fortin","given":"Marie-Josée","non-dropping-particle":"","parse-names":false,"suffix":""}],"edition":"2nd","id":"ITEM-1","issued":{"date-parts":[["2014"]]},"publisher":"Cambridge University Press","publisher-place":"Cambridge, UK","title":"Spatial analysis: a guide for ecologists","type":"book"},"uris":["http://www.mendeley.com/documents/?uuid=431cbf81-4d1a-416a-b8af-2b7e42b6e773"]},{"id":"ITEM-2","itemData":{"author":[{"dropping-particle":"","family":"Legendre","given":"Pierre","non-dropping-particle":"","parse-names":false,"suffix":""},{"dropping-particle":"","family":"Legendre","given":"Louis","non-dropping-particle":"","parse-names":false,"suffix":""}],"edition":"3rd Englis","id":"ITEM-2","issued":{"date-parts":[["2012"]]},"number-of-pages":"1006","publisher":"Elsevier","publisher-place":"Amsterdam, Netherlands","title":"Numerical Ecology","type":"book"},"uris":["http://www.mendeley.com/documents/?uuid=59d90cfa-9c0b-486e-84de-e29ce055bc9c"]}],"mendeley":{"formattedCitation":"(Dale &amp; Fortin 2014; Legendre &amp; Legendre 2012)","plainTextFormattedCitation":"(Dale &amp; Fortin 2014; Legendre &amp; Legendre 2012)","previouslyFormattedCitation":"(Dale &amp; Fortin 2014; Legendre &amp; Legendre 2012)"},"properties":{"noteIndex":0},"schema":"https://github.com/citation-style-language/schema/raw/master/csl-citation.json"}</w:instrText>
      </w:r>
      <w:r>
        <w:rPr>
          <w:lang w:val="en-CA"/>
        </w:rPr>
        <w:fldChar w:fldCharType="separate"/>
      </w:r>
      <w:r w:rsidRPr="009C7885">
        <w:rPr>
          <w:noProof/>
          <w:lang w:val="en-CA"/>
        </w:rPr>
        <w:t>(Dale &amp; Fortin 2014; Legendre &amp; Legendre 2012)</w:t>
      </w:r>
      <w:r>
        <w:rPr>
          <w:lang w:val="en-CA"/>
        </w:rPr>
        <w:fldChar w:fldCharType="end"/>
      </w:r>
      <w:r w:rsidRPr="00BD14BD">
        <w:rPr>
          <w:lang w:val="en-CA"/>
        </w:rPr>
        <w:t xml:space="preserve"> in the spatial genetic legacy (e.g., two independent catastrophic events, a pollution and a flood for example, affecting the landscape) influenced our ability to detect the event</w:t>
      </w:r>
      <w:r>
        <w:rPr>
          <w:lang w:val="en-CA"/>
        </w:rPr>
        <w:t>s</w:t>
      </w:r>
      <w:r w:rsidRPr="00BD14BD">
        <w:rPr>
          <w:lang w:val="en-CA"/>
        </w:rPr>
        <w:t>.</w:t>
      </w:r>
    </w:p>
    <w:p w14:paraId="668F08C7" w14:textId="77777777" w:rsidR="008D3B5A" w:rsidRPr="00BD14BD" w:rsidRDefault="008D3B5A" w:rsidP="004775A3">
      <w:pPr>
        <w:pStyle w:val="Heading4"/>
        <w:spacing w:line="480" w:lineRule="auto"/>
        <w:rPr>
          <w:lang w:val="en-CA"/>
        </w:rPr>
      </w:pPr>
      <w:bookmarkStart w:id="44" w:name="_Toc79591411"/>
      <w:bookmarkStart w:id="45" w:name="_Toc81356486"/>
      <w:r w:rsidRPr="00BD14BD">
        <w:rPr>
          <w:lang w:val="en-CA"/>
        </w:rPr>
        <w:t xml:space="preserve">4.3. Time between </w:t>
      </w:r>
      <w:bookmarkEnd w:id="44"/>
      <w:r>
        <w:rPr>
          <w:lang w:val="en-CA"/>
        </w:rPr>
        <w:t>surveys</w:t>
      </w:r>
      <w:bookmarkEnd w:id="45"/>
    </w:p>
    <w:p w14:paraId="18509A5B" w14:textId="0308CEEB" w:rsidR="008D3B5A" w:rsidRPr="00BD14BD" w:rsidRDefault="008D3B5A" w:rsidP="004775A3">
      <w:pPr>
        <w:spacing w:line="480" w:lineRule="auto"/>
        <w:rPr>
          <w:lang w:val="en-CA"/>
        </w:rPr>
      </w:pPr>
      <w:r w:rsidRPr="00BD14BD">
        <w:rPr>
          <w:lang w:val="en-CA"/>
        </w:rPr>
        <w:t>As expected, spatial genetic legacies decayed over time</w:t>
      </w:r>
      <w:r>
        <w:rPr>
          <w:lang w:val="en-CA"/>
        </w:rPr>
        <w:t>,</w:t>
      </w:r>
      <w:r w:rsidRPr="00BD14BD">
        <w:rPr>
          <w:lang w:val="en-CA"/>
        </w:rPr>
        <w:t xml:space="preserve"> </w:t>
      </w:r>
      <w:r>
        <w:rPr>
          <w:lang w:val="en-CA"/>
        </w:rPr>
        <w:t xml:space="preserve">mostly </w:t>
      </w:r>
      <w:r w:rsidRPr="00BD14BD">
        <w:rPr>
          <w:lang w:val="en-CA"/>
        </w:rPr>
        <w:t xml:space="preserve">due to gene flow and drift. Specifically, in this study we found that TGI was suitable for identifying changes over 1-9 generations (e.g., years) depending on landscape and demographic parameters. Two main points emerged from our analysis of how the timing of sampling affected the detection of significant genetic changes. First, when comparing an old survey to a survey realized soon after a demographic event, the spatial extent of the disturbance affected the power of TGI, with smaller spatial extents preserving high power even with large time gaps. Second, when </w:t>
      </w:r>
      <w:r w:rsidRPr="00BD14BD">
        <w:rPr>
          <w:lang w:val="en-CA"/>
        </w:rPr>
        <w:lastRenderedPageBreak/>
        <w:t xml:space="preserve">comparing a survey realized immediately before a disturbance to one collected several years after, dispersal was the most important factor driving the performance of TGI, with low-dispersal scenarios better preserving the performance of TGI in the context of </w:t>
      </w:r>
      <w:r>
        <w:rPr>
          <w:lang w:val="en-CA"/>
        </w:rPr>
        <w:t>decay brought by background processes</w:t>
      </w:r>
      <w:r w:rsidRPr="00BD14BD">
        <w:rPr>
          <w:lang w:val="en-CA"/>
        </w:rPr>
        <w:t xml:space="preserve"> through time. </w:t>
      </w:r>
      <w:r>
        <w:rPr>
          <w:lang w:val="en-CA"/>
        </w:rPr>
        <w:t>H</w:t>
      </w:r>
      <w:r w:rsidRPr="00BD14BD">
        <w:rPr>
          <w:lang w:val="en-CA"/>
        </w:rPr>
        <w:t xml:space="preserve">igh-dispersal systems could </w:t>
      </w:r>
      <w:r>
        <w:rPr>
          <w:lang w:val="en-CA"/>
        </w:rPr>
        <w:t>lead to</w:t>
      </w:r>
      <w:r w:rsidRPr="00BD14BD">
        <w:rPr>
          <w:lang w:val="en-CA"/>
        </w:rPr>
        <w:t xml:space="preserve"> as many as 10% of false positives even when sampling only a few years after an event. This result has serious implications: arbitrary and potentially inappropriate significance thresholds may result in misallocation of resources to monitoring or treating unaffected populations while missing some affected populations. In contrast, by considering the population dynamics and, if possible, planning relatively simple and short model-specific simulations, one can enhance the usefulness of TGI and proceed with a more appropriate sampling/monitoring strategy. Given the fact that FNR reach high values at the highest time gaps for some scenarios </w:t>
      </w:r>
      <w:r w:rsidRPr="00100F23">
        <w:rPr>
          <w:lang w:val="en-CA"/>
        </w:rPr>
        <w:t>(</w:t>
      </w:r>
      <w:r w:rsidRPr="00100F23">
        <w:rPr>
          <w:lang w:val="en-CA"/>
        </w:rPr>
        <w:fldChar w:fldCharType="begin"/>
      </w:r>
      <w:r w:rsidRPr="00100F23">
        <w:rPr>
          <w:lang w:val="en-CA"/>
        </w:rPr>
        <w:instrText xml:space="preserve"> REF _Ref81345996 \h  \* MERGEFORMAT </w:instrText>
      </w:r>
      <w:r w:rsidRPr="00100F23">
        <w:rPr>
          <w:lang w:val="en-CA"/>
        </w:rPr>
      </w:r>
      <w:r w:rsidRPr="00100F23">
        <w:rPr>
          <w:lang w:val="en-CA"/>
        </w:rPr>
        <w:fldChar w:fldCharType="separate"/>
      </w:r>
      <w:r w:rsidRPr="0061570B">
        <w:rPr>
          <w:b/>
          <w:bCs w:val="0"/>
          <w:szCs w:val="24"/>
          <w:lang w:val="en-GB"/>
        </w:rPr>
        <w:t>Figure 4</w:t>
      </w:r>
      <w:r w:rsidRPr="00100F23">
        <w:rPr>
          <w:lang w:val="en-CA"/>
        </w:rPr>
        <w:fldChar w:fldCharType="end"/>
      </w:r>
      <w:r w:rsidRPr="00BD14BD">
        <w:rPr>
          <w:lang w:val="en-CA"/>
        </w:rPr>
        <w:t>), we believe that our choice of a maximum of 9 generations (e.g., years) between surveys was appropriate.</w:t>
      </w:r>
    </w:p>
    <w:p w14:paraId="673E434A" w14:textId="77777777" w:rsidR="008D3B5A" w:rsidRPr="00BD14BD" w:rsidRDefault="008D3B5A" w:rsidP="004775A3">
      <w:pPr>
        <w:pStyle w:val="Heading4"/>
        <w:spacing w:line="480" w:lineRule="auto"/>
        <w:rPr>
          <w:lang w:val="en-CA"/>
        </w:rPr>
      </w:pPr>
      <w:bookmarkStart w:id="46" w:name="_Toc81356487"/>
      <w:bookmarkStart w:id="47" w:name="_Toc79591412"/>
      <w:r w:rsidRPr="00BD14BD">
        <w:rPr>
          <w:lang w:val="en-CA"/>
        </w:rPr>
        <w:t>4.5. Empirical application</w:t>
      </w:r>
      <w:bookmarkEnd w:id="46"/>
      <w:r w:rsidRPr="00BD14BD">
        <w:rPr>
          <w:lang w:val="en-CA"/>
        </w:rPr>
        <w:t xml:space="preserve"> </w:t>
      </w:r>
      <w:bookmarkEnd w:id="47"/>
    </w:p>
    <w:p w14:paraId="5AA84A7E" w14:textId="77777777" w:rsidR="008D3B5A" w:rsidRPr="00BD14BD" w:rsidRDefault="008D3B5A" w:rsidP="004775A3">
      <w:pPr>
        <w:spacing w:line="480" w:lineRule="auto"/>
        <w:rPr>
          <w:lang w:val="en-CA"/>
        </w:rPr>
      </w:pPr>
      <w:r w:rsidRPr="00BD14BD">
        <w:rPr>
          <w:lang w:val="en-CA"/>
        </w:rPr>
        <w:t xml:space="preserve">We successfully applied TGI to an empirical dataset from an endangered fish, the Northern tidewater goby, for which temporal genetic change had been described but not quantitatively tested </w:t>
      </w:r>
      <w:r w:rsidRPr="00BD14BD">
        <w:rPr>
          <w:lang w:val="en-CA"/>
        </w:rPr>
        <w:fldChar w:fldCharType="begin" w:fldLock="1"/>
      </w:r>
      <w:r w:rsidRPr="00BD14BD">
        <w:rPr>
          <w:lang w:val="en-CA"/>
        </w:rPr>
        <w:instrText>ADDIN CSL_CITATION {"citationItems":[{"id":"ITEM-1","itemData":{"DOI":"10.1111/mec.13424","ISSN":"1365294X","abstract":"Extinction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Ecology","id":"ITEM-1","issue":"22","issued":{"date-parts":[["2015"]]},"page":"5544-5560","title":"Temporal genetic analysis of the endangered tidewater goby: Extinction-colonization dynamics or drift in isolation?","type":"article-journal","volume":"24"},"uris":["http://www.mendeley.com/documents/?uuid=94170e91-385b-4397-a362-e735e6da69fe"]}],"mendeley":{"formattedCitation":"(Kinziger et al. 2015)","plainTextFormattedCitation":"(Kinziger et al. 2015)","previouslyFormattedCitation":"(Kinziger et al. 2015)"},"properties":{"noteIndex":0},"schema":"https://github.com/citation-style-language/schema/raw/master/csl-citation.json"}</w:instrText>
      </w:r>
      <w:r w:rsidRPr="00BD14BD">
        <w:rPr>
          <w:lang w:val="en-CA"/>
        </w:rPr>
        <w:fldChar w:fldCharType="separate"/>
      </w:r>
      <w:r w:rsidRPr="00BD14BD">
        <w:rPr>
          <w:noProof/>
          <w:lang w:val="en-CA"/>
        </w:rPr>
        <w:t>(Kinziger et al. 2015)</w:t>
      </w:r>
      <w:r w:rsidRPr="00BD14BD">
        <w:rPr>
          <w:lang w:val="en-CA"/>
        </w:rPr>
        <w:fldChar w:fldCharType="end"/>
      </w:r>
      <w:r w:rsidRPr="00BD14BD">
        <w:rPr>
          <w:lang w:val="en-CA"/>
        </w:rPr>
        <w:t xml:space="preserve">. The authors of the original publication hypothesized that one goby population had undergone meaningful genetic change relative to the rest of the landscape; our application of TGI supported this hypothesis. We therefore clearly showed that the straightforward TGI testing procedure can be used to strengthen the results from temporal genetic studies that use repeated surveys. </w:t>
      </w:r>
    </w:p>
    <w:p w14:paraId="053EB119" w14:textId="77777777" w:rsidR="008D3B5A" w:rsidRPr="00BD14BD" w:rsidRDefault="008D3B5A" w:rsidP="004775A3">
      <w:pPr>
        <w:pStyle w:val="Heading4"/>
        <w:spacing w:line="480" w:lineRule="auto"/>
        <w:rPr>
          <w:lang w:val="en-CA"/>
        </w:rPr>
      </w:pPr>
      <w:bookmarkStart w:id="48" w:name="_Toc79591413"/>
      <w:bookmarkStart w:id="49" w:name="_Toc81356488"/>
      <w:r w:rsidRPr="00BD14BD">
        <w:rPr>
          <w:lang w:val="en-CA"/>
        </w:rPr>
        <w:t>4.6. Considerations about the use of TGI</w:t>
      </w:r>
      <w:bookmarkEnd w:id="48"/>
      <w:bookmarkEnd w:id="49"/>
      <w:r w:rsidRPr="00BD14BD">
        <w:rPr>
          <w:lang w:val="en-CA"/>
        </w:rPr>
        <w:t xml:space="preserve"> </w:t>
      </w:r>
    </w:p>
    <w:p w14:paraId="511CC015" w14:textId="51A27AE4" w:rsidR="008D3B5A" w:rsidRPr="00BD14BD" w:rsidRDefault="008D3B5A" w:rsidP="004775A3">
      <w:pPr>
        <w:spacing w:line="480" w:lineRule="auto"/>
        <w:rPr>
          <w:lang w:val="en-CA"/>
        </w:rPr>
      </w:pPr>
      <w:r w:rsidRPr="00BD14BD">
        <w:rPr>
          <w:lang w:val="en-CA"/>
        </w:rPr>
        <w:lastRenderedPageBreak/>
        <w:t>Different empirical datasets and research objectives may require TGI users to customize our procedure, but the TGI function</w:t>
      </w:r>
      <w:r>
        <w:rPr>
          <w:lang w:val="en-CA"/>
        </w:rPr>
        <w:t xml:space="preserve"> </w:t>
      </w:r>
      <w:r w:rsidRPr="00BD14BD">
        <w:rPr>
          <w:lang w:val="en-CA"/>
        </w:rPr>
        <w:t>is transparent and flexible</w:t>
      </w:r>
      <w:r>
        <w:rPr>
          <w:lang w:val="en-CA"/>
        </w:rPr>
        <w:t xml:space="preserve"> </w:t>
      </w:r>
      <w:r>
        <w:rPr>
          <w:lang w:val="en-CA"/>
        </w:rPr>
        <w:fldChar w:fldCharType="begin" w:fldLock="1"/>
      </w:r>
      <w:r>
        <w:rPr>
          <w:lang w:val="en-CA"/>
        </w:rPr>
        <w:instrText>ADDIN CSL_CITATION {"citationItems":[{"id":"ITEM-1","itemData":{"DOI":"10.1371/journal.pbio.3000763","ISBN":"1111111111","ISSN":"15457885","PMID":"32722681","abstract":"Access to analytical code is essential for transparent and reproducible research. We review the state of code availability in ecology using a random sample of 346 nonmolecular articles published between 2015 and 2019 under mandatory or encouraged code-sharing policies. Our results call for urgent action to increase code availability: only 27% of eligible articles were accompanied by code. In contrast, data were available for 79% of eligible articles, highlighting that code availability is an important limiting factor for computational reproducibility in ecology. Although the percentage of ecological journals with mandatory or encouraged code-sharing policies has increased considerably, from 15% in 2015 to 75% in 2020, our results show that code-sharing policies are not adhered to by most authors. We hope these results will encourage journals, institutions, funding agencies, and researchers to address this alarming situation.","author":[{"dropping-particle":"","family":"Culina","given":"Antica","non-dropping-particle":"","parse-names":false,"suffix":""},{"dropping-particle":"","family":"Berg","given":"Ilona","non-dropping-particle":"van den","parse-names":false,"suffix":""},{"dropping-particle":"","family":"Evans","given":"Simon","non-dropping-particle":"","parse-names":false,"suffix":""},{"dropping-particle":"","family":"Sánchez-Tójar","given":"Alfredo","non-dropping-particle":"","parse-names":false,"suffix":""}],"container-title":"PLoS Biology","id":"ITEM-1","issue":"7","issued":{"date-parts":[["2020"]]},"page":"1-9","title":"Low availability of code in ecology: A call for urgent action","type":"article-journal","volume":"18"},"uris":["http://www.mendeley.com/documents/?uuid=3a1aafc2-142d-4709-ace1-ff51fd7ed54c"]}],"mendeley":{"formattedCitation":"(Culina et al. 2020)","plainTextFormattedCitation":"(Culina et al. 2020)","previouslyFormattedCitation":"(Culina et al. 2020)"},"properties":{"noteIndex":0},"schema":"https://github.com/citation-style-language/schema/raw/master/csl-citation.json"}</w:instrText>
      </w:r>
      <w:r>
        <w:rPr>
          <w:lang w:val="en-CA"/>
        </w:rPr>
        <w:fldChar w:fldCharType="separate"/>
      </w:r>
      <w:r w:rsidRPr="0049347F">
        <w:rPr>
          <w:noProof/>
          <w:lang w:val="en-CA"/>
        </w:rPr>
        <w:t>(Culina et al. 2020)</w:t>
      </w:r>
      <w:r>
        <w:rPr>
          <w:lang w:val="en-CA"/>
        </w:rPr>
        <w:fldChar w:fldCharType="end"/>
      </w:r>
      <w:r w:rsidRPr="00BD14BD">
        <w:rPr>
          <w:lang w:val="en-CA"/>
        </w:rPr>
        <w:t>, and different permutation and genetic distance algorithms could easily be used by simply changing a few</w:t>
      </w:r>
      <w:r>
        <w:rPr>
          <w:lang w:val="en-CA"/>
        </w:rPr>
        <w:t xml:space="preserve"> characters or</w:t>
      </w:r>
      <w:r w:rsidRPr="00BD14BD">
        <w:rPr>
          <w:lang w:val="en-CA"/>
        </w:rPr>
        <w:t xml:space="preserve"> lines of R code in the annotated TGI function provided in the supplementary material</w:t>
      </w:r>
      <w:r>
        <w:rPr>
          <w:lang w:val="en-CA"/>
        </w:rPr>
        <w:t xml:space="preserve"> (</w:t>
      </w:r>
      <w:r w:rsidRPr="005D05D0">
        <w:rPr>
          <w:lang w:val="en-CA"/>
        </w:rPr>
        <w:fldChar w:fldCharType="begin"/>
      </w:r>
      <w:r w:rsidRPr="005D05D0">
        <w:rPr>
          <w:lang w:val="en-CA"/>
        </w:rPr>
        <w:instrText xml:space="preserve"> REF _Ref81345071 \h  \* MERGEFORMAT </w:instrText>
      </w:r>
      <w:r w:rsidRPr="005D05D0">
        <w:rPr>
          <w:lang w:val="en-CA"/>
        </w:rPr>
      </w:r>
      <w:r w:rsidRPr="005D05D0">
        <w:rPr>
          <w:lang w:val="en-CA"/>
        </w:rPr>
        <w:fldChar w:fldCharType="separate"/>
      </w:r>
      <w:r w:rsidRPr="0061570B">
        <w:rPr>
          <w:b/>
          <w:bCs w:val="0"/>
          <w:szCs w:val="24"/>
          <w:lang w:val="en-GB"/>
        </w:rPr>
        <w:t>Supp. Mat. 2</w:t>
      </w:r>
      <w:r w:rsidRPr="005D05D0">
        <w:rPr>
          <w:lang w:val="en-CA"/>
        </w:rPr>
        <w:fldChar w:fldCharType="end"/>
      </w:r>
      <w:r w:rsidRPr="005D05D0">
        <w:rPr>
          <w:lang w:val="en-CA"/>
        </w:rPr>
        <w:t>).</w:t>
      </w:r>
      <w:r w:rsidRPr="00BD14BD">
        <w:rPr>
          <w:lang w:val="en-CA"/>
        </w:rPr>
        <w:t xml:space="preserve"> Evaluating the performance of distance metrics with different statistical properties </w:t>
      </w:r>
      <w:r w:rsidRPr="00BD14BD">
        <w:rPr>
          <w:lang w:val="en-CA"/>
        </w:rPr>
        <w:fldChar w:fldCharType="begin" w:fldLock="1"/>
      </w:r>
      <w:r w:rsidRPr="00BD14BD">
        <w:rPr>
          <w:lang w:val="en-CA"/>
        </w:rPr>
        <w:instrText>ADDIN CSL_CITATION {"citationItems":[{"id":"ITEM-1","itemData":{"DOI":"10.1111/ele.12141","ISSN":"1461023X","PMID":"23809147","abstract":"Beta diversity can be measured in different ways. Among these, the total variance of the community data table Y can be used as an estimate of beta diversity. We show how the total variance of Y can be calculated either directly or through a dissimilarity matrix obtained using any dissimilarity index deemed appropriate for pairwise comparisons of community composition data. We addressed the question of which index to use by coding 16 indices using 14 properties that are necessary for beta assessment, comparability among data sets, sampling issues and ordination. Our comparison analysis classified the coefficients under study into five types, three of which are appropriate for beta diversity assessment. Our approach links the concept of beta diversity with the analysis of community data by commonly used methods like ordination and anova. Total beta can be partitioned into Species Contributions (SCBD: degree of variation of individual species across the study area) and Local Contributions (LCBD: comparative indicators of the ecological uniqueness of the sites) to Beta Diversity. Moreover, total beta can be broken up into within- and among-group components by manova, into orthogonal axes by ordination, into spatial scales by eigenfunction analysis or among explanatory data sets by variation partitioning.","author":[{"dropping-particle":"","family":"Legendre","given":"Pierre","non-dropping-particle":"","parse-names":false,"suffix":""},{"dropping-particle":"","family":"Cáceres","given":"Miquel","non-dropping-particle":"De","parse-names":false,"suffix":""}],"container-title":"Ecology Letters","id":"ITEM-1","issue":"8","issued":{"date-parts":[["2013"]]},"page":"951-963","title":"Beta diversity as the variance of community data: Dissimilarity coefficients and partitioning","type":"article-journal","volume":"16"},"uris":["http://www.mendeley.com/documents/?uuid=8df95c2b-4507-4b57-8db0-19a5c2319f70"]}],"mendeley":{"formattedCitation":"(Legendre &amp; De Cáceres 2013)","plainTextFormattedCitation":"(Legendre &amp; De Cáceres 2013)","previouslyFormattedCitation":"(Legendre &amp; De Cáceres 2013)"},"properties":{"noteIndex":0},"schema":"https://github.com/citation-style-language/schema/raw/master/csl-citation.json"}</w:instrText>
      </w:r>
      <w:r w:rsidRPr="00BD14BD">
        <w:rPr>
          <w:lang w:val="en-CA"/>
        </w:rPr>
        <w:fldChar w:fldCharType="separate"/>
      </w:r>
      <w:r w:rsidRPr="00BD14BD">
        <w:rPr>
          <w:noProof/>
          <w:lang w:val="en-CA"/>
        </w:rPr>
        <w:t>(Legendre &amp; De Cáceres 2013)</w:t>
      </w:r>
      <w:r w:rsidRPr="00BD14BD">
        <w:rPr>
          <w:lang w:val="en-CA"/>
        </w:rPr>
        <w:fldChar w:fldCharType="end"/>
      </w:r>
      <w:r w:rsidRPr="00BD14BD">
        <w:rPr>
          <w:lang w:val="en-CA"/>
        </w:rPr>
        <w:t xml:space="preserve"> could be an avenue for future work. TGI can also readily be used on other types of genetic data, such as microsatellites. TGI provides a robust statistical framework more trustworthy than arbitrary comparison of pairwise genetic di</w:t>
      </w:r>
      <w:r>
        <w:rPr>
          <w:lang w:val="en-CA"/>
        </w:rPr>
        <w:t>ssimilarities</w:t>
      </w:r>
      <w:r w:rsidRPr="00BD14BD">
        <w:rPr>
          <w:lang w:val="en-CA"/>
        </w:rPr>
        <w:t>, or node-based genetic diversity values.</w:t>
      </w:r>
    </w:p>
    <w:p w14:paraId="5701C1B7" w14:textId="77777777" w:rsidR="008D3B5A" w:rsidRDefault="008D3B5A" w:rsidP="004775A3">
      <w:pPr>
        <w:spacing w:line="480" w:lineRule="auto"/>
        <w:rPr>
          <w:lang w:val="en-CA"/>
        </w:rPr>
      </w:pPr>
      <w:r w:rsidRPr="00BD14BD">
        <w:rPr>
          <w:lang w:val="en-CA"/>
        </w:rPr>
        <w:t xml:space="preserve">Despite these advantages, there are still several important considerations for the effective use of TGI tests. The implementation of TGI in new systems will ultimately be more successful if researchers have an </w:t>
      </w:r>
      <w:r w:rsidRPr="003C7F02">
        <w:rPr>
          <w:lang w:val="en-CA"/>
        </w:rPr>
        <w:t>a priori</w:t>
      </w:r>
      <w:r w:rsidRPr="00BD14BD">
        <w:rPr>
          <w:lang w:val="en-CA"/>
        </w:rPr>
        <w:t xml:space="preserve"> understanding of the population dynamics of their system and the nature and scale of possible disturbances in their study area. Indeed, this prior knowledge could guide researchers in the choice of survey intervals after important historical demographic events</w:t>
      </w:r>
      <w:r>
        <w:rPr>
          <w:lang w:val="en-CA"/>
        </w:rPr>
        <w:t xml:space="preserve"> </w:t>
      </w:r>
      <w:r>
        <w:rPr>
          <w:lang w:val="en-CA"/>
        </w:rPr>
        <w:fldChar w:fldCharType="begin" w:fldLock="1"/>
      </w:r>
      <w:r>
        <w:rPr>
          <w:lang w:val="en-CA"/>
        </w:rPr>
        <w:instrText>ADDIN CSL_CITATION {"citationItems":[{"id":"ITEM-1","itemData":{"DOI":"10.1111/j.1365-294X.2010.04757.x","ISSN":"1365-294X","PMID":"20723051","abstract":"Landscape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ecology","id":"ITEM-1","issue":"17","issued":{"date-parts":[["2010","9"]]},"page":"3565-75","title":"Considering spatial and temporal scale in landscape-genetic studies of gene flow.","type":"article-journal","volume":"19"},"uris":["http://www.mendeley.com/documents/?uuid=f69887eb-68f3-4da1-826f-4bf5b94093e4"]},{"id":"ITEM-2","itemData":{"DOI":"10.1111/mec.15315","ISSN":"1365294X","PMID":"31758601","abstract":"Genetic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and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palaeoclimate data, and highlight areas for future methodological development.","author":[{"dropping-particle":"","family":"Fenderson","given":"Lindsey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Ecology","id":"ITEM-2","issue":"2","issued":{"date-parts":[["2019"]]},"page":"218-246","title":"Spatiotemporal landscape genetics: Investigating ecology and evolution through space and time","type":"article-journal","volume":"29"},"uris":["http://www.mendeley.com/documents/?uuid=f91462ee-0e28-4315-b0f6-5807113a3c16"]}],"mendeley":{"formattedCitation":"(Anderson et al. 2010; Fenderson et al. 2019)","plainTextFormattedCitation":"(Anderson et al. 2010; Fenderson et al. 2019)","previouslyFormattedCitation":"(Anderson et al. 2010; Fenderson et al. 2019)"},"properties":{"noteIndex":0},"schema":"https://github.com/citation-style-language/schema/raw/master/csl-citation.json"}</w:instrText>
      </w:r>
      <w:r>
        <w:rPr>
          <w:lang w:val="en-CA"/>
        </w:rPr>
        <w:fldChar w:fldCharType="separate"/>
      </w:r>
      <w:r w:rsidRPr="00537B1D">
        <w:rPr>
          <w:noProof/>
          <w:lang w:val="en-CA"/>
        </w:rPr>
        <w:t>(Anderson et al. 2010; Fenderson et al. 2019)</w:t>
      </w:r>
      <w:r>
        <w:rPr>
          <w:lang w:val="en-CA"/>
        </w:rPr>
        <w:fldChar w:fldCharType="end"/>
      </w:r>
      <w:r w:rsidRPr="00BD14BD">
        <w:rPr>
          <w:lang w:val="en-CA"/>
        </w:rPr>
        <w:t>. FNR and FPR values ultimately represent trade-offs in potential conservation costs</w:t>
      </w:r>
      <w:r>
        <w:rPr>
          <w:lang w:val="en-CA"/>
        </w:rPr>
        <w:t xml:space="preserve"> </w:t>
      </w:r>
      <w:r>
        <w:rPr>
          <w:lang w:val="en-CA"/>
        </w:rPr>
        <w:fldChar w:fldCharType="begin" w:fldLock="1"/>
      </w:r>
      <w:r>
        <w:rPr>
          <w:lang w:val="en-CA"/>
        </w:rPr>
        <w:instrText>ADDIN CSL_CITATION {"citationItems":[{"id":"ITEM-1","itemData":{"author":[{"dropping-particle":"","family":"Moilanen","given":"Atte","non-dropping-particle":"","parse-names":false,"suffix":""},{"dropping-particle":"","family":"Wilson","given":"Kerrie","non-dropping-particle":"","parse-names":false,"suffix":""},{"dropping-particle":"","family":"Possingham","given":"Hugh","non-dropping-particle":"","parse-names":false,"suffix":""}],"id":"ITEM-1","issued":{"date-parts":[["2009"]]},"number-of-pages":"304","publisher":"Oxford University Press","publisher-place":"Oxford, United Kingdom","title":"Spatial Conservation Prioritization: Quantitative Methods and Computational Tools","type":"book"},"uris":["http://www.mendeley.com/documents/?uuid=b441d451-bd1f-48c3-bf16-431c7e05b2bc"]},{"id":"ITEM-2","itemData":{"DOI":"10.1111/cobi.13417","ISSN":"15231739","PMID":"31486126","abstract":"Spatial management is a valuable strategy to advance regional goals for nature conservation, economic development, and human health. One challenge of spatial management is navigating the prioritization of multiple features. This challenge becomes more pronounced in dynamic management scenarios, in which boundaries are flexible in space and time in response to changing biological, environmental, or socioeconomic conditions. To implement dynamic management, decision-support tools are needed to guide spatial prioritization as feature distributions shift under changing conditions. Marxan is a widely applied decision-support tool designed for static management scenarios, but its utility in dynamic management has not been evaluated. EcoCast is a new decision-support tool developed explicitly for the dynamic management of multiple features, but it lacks some of Marxan's functionality. We used a hindcast analysis to compare the capacity of these 2 tools to prioritize 4 marine species in a dynamic management scenario for fisheries sustainability. We successfully configured Marxan to operate dynamically on a daily time scale to resemble EcoCast. The relationship between EcoCast solutions and the underlying species distributions was more linear and less noisy, whereas Marxan solutions had more contrast between waters that were good and poor to fish. Neither decision-support tool clearly outperformed the other; the appropriateness of each depends on management purpose, resource-manager preference, and technological capacity of tool developers. Article impact statement: Marxan can function as a decision-support tool for dynamic management scenarios in which boundaries are flexible in space and time.","author":[{"dropping-particle":"","family":"Welch","given":"Heather","non-dropping-particle":"","parse-names":false,"suffix":""},{"dropping-particle":"","family":"Brodie","given":"Stephanie","non-dropping-particle":"","parse-names":false,"suffix":""},{"dropping-particle":"","family":"Jacox","given":"Michael G.","non-dropping-particle":"","parse-names":false,"suffix":""},{"dropping-particle":"","family":"Bograd","given":"Steven J.","non-dropping-particle":"","parse-names":false,"suffix":""},{"dropping-particle":"","family":"Hazen","given":"Elliott L.","non-dropping-particle":"","parse-names":false,"suffix":""}],"container-title":"Conservation Biology","id":"ITEM-2","issue":"3","issued":{"date-parts":[["2020"]]},"page":"589-599","title":"Decision-support tools for dynamic management","type":"article-journal","volume":"34"},"uris":["http://www.mendeley.com/documents/?uuid=a5cfcea3-f512-4699-9ddb-eeb861092997"]}],"mendeley":{"formattedCitation":"(Moilanen et al. 2009; Welch et al. 2020)","plainTextFormattedCitation":"(Moilanen et al. 2009; Welch et al. 2020)","previouslyFormattedCitation":"(Moilanen et al. 2009; Welch et al. 2020)"},"properties":{"noteIndex":0},"schema":"https://github.com/citation-style-language/schema/raw/master/csl-citation.json"}</w:instrText>
      </w:r>
      <w:r>
        <w:rPr>
          <w:lang w:val="en-CA"/>
        </w:rPr>
        <w:fldChar w:fldCharType="separate"/>
      </w:r>
      <w:r w:rsidRPr="00EB7E5A">
        <w:rPr>
          <w:noProof/>
          <w:lang w:val="en-CA"/>
        </w:rPr>
        <w:t>(Moilanen et al. 2009; Welch et al. 2020)</w:t>
      </w:r>
      <w:r>
        <w:rPr>
          <w:lang w:val="en-CA"/>
        </w:rPr>
        <w:fldChar w:fldCharType="end"/>
      </w:r>
      <w:r w:rsidRPr="00BD14BD">
        <w:rPr>
          <w:lang w:val="en-CA"/>
        </w:rPr>
        <w:t xml:space="preserve">, and it is therefore essential that researchers grasp their importance and choose these values deliberately. Stricter (lower) values for the TGI </w:t>
      </w:r>
      <w:r w:rsidRPr="00BD14BD">
        <w:rPr>
          <w:i/>
          <w:iCs/>
          <w:lang w:val="en-CA"/>
        </w:rPr>
        <w:t>p</w:t>
      </w:r>
      <w:r w:rsidRPr="00BD14BD">
        <w:rPr>
          <w:lang w:val="en-CA"/>
        </w:rPr>
        <w:t>-value threshold expectedly result in a lower FPR but may also result in a higher FNR (lower power). Identifying the most sensible threshold for a chosen objective would be valuable to better understand the trade-offs of different sampling schemes in specific empirical systems. Purpose-designed spatially explicit simulations can be used to address this challenge</w:t>
      </w:r>
      <w:r>
        <w:rPr>
          <w:lang w:val="en-CA"/>
        </w:rPr>
        <w:t xml:space="preserve"> </w:t>
      </w:r>
      <w:r>
        <w:rPr>
          <w:lang w:val="en-CA"/>
        </w:rPr>
        <w:fldChar w:fldCharType="begin" w:fldLock="1"/>
      </w:r>
      <w:r>
        <w:rPr>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demogenetics","type":"article-journal","volume":"8"},"uris":["http://www.mendeley.com/documents/?uuid=9e136494-ea58-4e87-8b0b-05976e46a8ac"]},{"id":"ITEM-2","itemData":{"DOI":"10.1093/molbev/msy228","ISSN":"15371719","abstract":"With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Evolution","id":"ITEM-2","issue":"3","issued":{"date-parts":[["2019"]]},"page":"632-637","title":"SLiM 3: Forward Genetic Simulations Beyond the Wright-Fisher Model","type":"article-journal","volume":"36"},"uris":["http://www.mendeley.com/documents/?uuid=505958d6-e748-4857-b872-820859dbd35b"]},{"id":"ITEM-3","itemData":{"DOI":"10.1111/j.1365-294X.2010.04678.x","ISSN":"1365-294X","PMID":"20618894","abstract":"Population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 A.","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ecology","id":"ITEM-3","issue":"17","issued":{"date-parts":[["2010","9"]]},"page":"3549-64","title":"Utility of computer simulations in landscape genetics.","type":"article-journal","volume":"19"},"uris":["http://www.mendeley.com/documents/?uuid=e1f50cc8-16e5-476d-85fe-29fa2e4b95f9"]}],"mendeley":{"formattedCitation":"(Epperson et al. 2010; Haller &amp; Messer 2019; Landguth et al. 2017a)","plainTextFormattedCitation":"(Epperson et al. 2010; Haller &amp; Messer 2019; Landguth et al. 2017a)","previouslyFormattedCitation":"(Epperson et al. 2010; Haller &amp; Messer 2019; Landguth et al. 2017a)"},"properties":{"noteIndex":0},"schema":"https://github.com/citation-style-language/schema/raw/master/csl-citation.json"}</w:instrText>
      </w:r>
      <w:r>
        <w:rPr>
          <w:lang w:val="en-CA"/>
        </w:rPr>
        <w:fldChar w:fldCharType="separate"/>
      </w:r>
      <w:r w:rsidRPr="00EB7E5A">
        <w:rPr>
          <w:noProof/>
          <w:lang w:val="en-CA"/>
        </w:rPr>
        <w:t>(Epperson et al. 2010; Haller &amp; Messer 2019; Landguth et al. 2017a)</w:t>
      </w:r>
      <w:r>
        <w:rPr>
          <w:lang w:val="en-CA"/>
        </w:rPr>
        <w:fldChar w:fldCharType="end"/>
      </w:r>
      <w:r w:rsidRPr="00BD14BD">
        <w:rPr>
          <w:lang w:val="en-CA"/>
        </w:rPr>
        <w:t>. I</w:t>
      </w:r>
      <w:r w:rsidRPr="00BD14BD">
        <w:rPr>
          <w:iCs/>
          <w:lang w:val="en-CA"/>
        </w:rPr>
        <w:t>n</w:t>
      </w:r>
      <w:r w:rsidRPr="00BD14BD">
        <w:rPr>
          <w:i/>
          <w:lang w:val="en-CA"/>
        </w:rPr>
        <w:t xml:space="preserve"> </w:t>
      </w:r>
      <w:r w:rsidRPr="00BD14BD">
        <w:rPr>
          <w:lang w:val="en-CA"/>
        </w:rPr>
        <w:t xml:space="preserve">some cases, it may be desirable to minimize false negatives relative to false positives – thus ensuring that we detect all the affected populations no matter </w:t>
      </w:r>
      <w:r w:rsidRPr="00BD14BD">
        <w:rPr>
          <w:lang w:val="en-CA"/>
        </w:rPr>
        <w:lastRenderedPageBreak/>
        <w:t>the cost of detecting, and therefore monitoring and preserving, some populations that do not need preservation.</w:t>
      </w:r>
    </w:p>
    <w:p w14:paraId="79716C62" w14:textId="77777777" w:rsidR="008D3B5A" w:rsidRDefault="008D3B5A" w:rsidP="004775A3">
      <w:pPr>
        <w:spacing w:line="480" w:lineRule="auto"/>
        <w:rPr>
          <w:lang w:val="en-CA"/>
        </w:rPr>
      </w:pPr>
      <w:r w:rsidRPr="00BD14BD">
        <w:rPr>
          <w:lang w:val="en-CA"/>
        </w:rPr>
        <w:t xml:space="preserve">TGI was not developed as an alternative for inferring demographic history from large genetic datasets collected at a single time </w:t>
      </w:r>
      <w:r>
        <w:rPr>
          <w:lang w:val="en-CA"/>
        </w:rPr>
        <w:fldChar w:fldCharType="begin" w:fldLock="1"/>
      </w:r>
      <w:r>
        <w:rPr>
          <w:lang w:val="en-CA"/>
        </w:rPr>
        <w:instrText>ADDIN CSL_CITATION {"citationItems":[{"id":"ITEM-1","itemData":{"DOI":"10.1093/molbev/msu212","ISSN":"15371719","PMID":"25016583","abstract":"Understanding the demographic history of populations and species is a central issue in evolutionary biology and molecular ecology. In this work, we develop a maximum-likelihood method for the inference of past changes in population size from microsatellite allelic data. Our method is based on importance sampling of gene genealogies, extended for new mutation models, notably the generalized stepwise mutation model (GSM). Using simulations, we test its performance to detect and characterize past reductions in population size. First, we test the estimation precision and confidence intervals coverage properties under ideal conditions, then we compare the accuracy of the estimation with another available method (MSVAR) and we finally test its robustness to misspecification of the mutational model and population structure. We show that our method is very competitive compared with alternative ones. Moreover, our implementation of a GSM allows more accurate analysis of microsatellite data, as we show that the violations of a single step mutation assumption induce very high bias toward false contraction detection rates. However, our simulation tests also showed some limits, which most importantly are large computation times for strong disequilibrium scenarios and a strong influence of some form of unaccounted population structure. This inference method is available in the latest implementation of the MIGRAINE software package.","author":[{"dropping-particle":"","family":"Leblois","given":"Raphaël","non-dropping-particle":"","parse-names":false,"suffix":""},{"dropping-particle":"","family":"Pudlo","given":"Pierre","non-dropping-particle":"","parse-names":false,"suffix":""},{"dropping-particle":"","family":"Néron","given":"Joseph","non-dropping-particle":"","parse-names":false,"suffix":""},{"dropping-particle":"","family":"Bertaux","given":"François","non-dropping-particle":"","parse-names":false,"suffix":""},{"dropping-particle":"","family":"Reddy Beeravolu","given":"Champak","non-dropping-particle":"","parse-names":false,"suffix":""},{"dropping-particle":"","family":"Vitalis","given":"Renaud","non-dropping-particle":"","parse-names":false,"suffix":""},{"dropping-particle":"","family":"Rousset","given":"François","non-dropping-particle":"","parse-names":false,"suffix":""}],"container-title":"Molecular Biology and Evolution","id":"ITEM-1","issue":"10","issued":{"date-parts":[["2014"]]},"page":"2805-2823","title":"Maximum-likelihood inference of population size contractions from microsatellite data","type":"article-journal","volume":"31"},"uris":["http://www.mendeley.com/documents/?uuid=bc74b7b6-089b-4ae8-b80b-4d610bf1998e"]}],"mendeley":{"formattedCitation":"(Leblois et al. 2014)","manualFormatting":"(e.g., Leblois et al. 2014)","plainTextFormattedCitation":"(Leblois et al. 2014)","previouslyFormattedCitation":"(Leblois et al. 2014)"},"properties":{"noteIndex":0},"schema":"https://github.com/citation-style-language/schema/raw/master/csl-citation.json"}</w:instrText>
      </w:r>
      <w:r>
        <w:rPr>
          <w:lang w:val="en-CA"/>
        </w:rPr>
        <w:fldChar w:fldCharType="separate"/>
      </w:r>
      <w:r w:rsidRPr="00470372">
        <w:rPr>
          <w:noProof/>
          <w:lang w:val="en-CA"/>
        </w:rPr>
        <w:t>(</w:t>
      </w:r>
      <w:r>
        <w:rPr>
          <w:noProof/>
          <w:lang w:val="en-CA"/>
        </w:rPr>
        <w:t xml:space="preserve">e.g., </w:t>
      </w:r>
      <w:r w:rsidRPr="00470372">
        <w:rPr>
          <w:noProof/>
          <w:lang w:val="en-CA"/>
        </w:rPr>
        <w:t>Leblois et al. 2014)</w:t>
      </w:r>
      <w:r>
        <w:rPr>
          <w:lang w:val="en-CA"/>
        </w:rPr>
        <w:fldChar w:fldCharType="end"/>
      </w:r>
      <w:r w:rsidRPr="00BD14BD">
        <w:rPr>
          <w:lang w:val="en-CA"/>
        </w:rPr>
        <w:t>. Instead, it was designed to help research teams collecting repeated surveys from non-model organisms with limited genotypic information</w:t>
      </w:r>
      <w:r>
        <w:rPr>
          <w:lang w:val="en-CA"/>
        </w:rPr>
        <w:t xml:space="preserve"> </w:t>
      </w:r>
      <w:r>
        <w:rPr>
          <w:lang w:val="en-CA"/>
        </w:rPr>
        <w:fldChar w:fldCharType="begin" w:fldLock="1"/>
      </w:r>
      <w:r>
        <w:rPr>
          <w:lang w:val="en-CA"/>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rosalia)","type":"article-journal","volume":"18"},"uris":["http://www.mendeley.com/documents/?uuid=7d71e0a9-3eb2-45a3-aeeb-a97eab5c25bd"]},{"id":"ITEM-2","itemData":{"DOI":"10.1111/eva.12617","ISSN":"17524571","abstract":"©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change","type":"article-journal","volume":"11"},"uris":["http://www.mendeley.com/documents/?uuid=b334cca4-d631-4a5f-9c00-24ad276874bb"]},{"id":"ITEM-3","itemData":{"DOI":"10.1111/mec.13424","ISSN":"1365294X","abstract":"Extinction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Ecology","id":"ITEM-3","issue":"22","issued":{"date-parts":[["2015"]]},"page":"5544-5560","title":"Temporal genetic analysis of the endangered tidewater goby: Extinction-colonization dynamics or drift in isolation?","type":"article-journal","volume":"24"},"uris":["http://www.mendeley.com/documents/?uuid=94170e91-385b-4397-a362-e735e6da69fe"]}],"mendeley":{"formattedCitation":"(Draheim et al. 2018; Kinziger et al. 2015; Moraes et al. 2017)","plainTextFormattedCitation":"(Draheim et al. 2018; Kinziger et al. 2015; Moraes et al. 2017)","previouslyFormattedCitation":"(Draheim et al. 2018; Kinziger et al. 2015; Moraes et al. 2017)"},"properties":{"noteIndex":0},"schema":"https://github.com/citation-style-language/schema/raw/master/csl-citation.json"}</w:instrText>
      </w:r>
      <w:r>
        <w:rPr>
          <w:lang w:val="en-CA"/>
        </w:rPr>
        <w:fldChar w:fldCharType="separate"/>
      </w:r>
      <w:r w:rsidRPr="00A9176C">
        <w:rPr>
          <w:noProof/>
          <w:lang w:val="en-CA"/>
        </w:rPr>
        <w:t>(Draheim et al. 2018; Kinziger et al. 2015; Moraes et al. 2017)</w:t>
      </w:r>
      <w:r>
        <w:rPr>
          <w:lang w:val="en-CA"/>
        </w:rPr>
        <w:fldChar w:fldCharType="end"/>
      </w:r>
      <w:r w:rsidRPr="00BD14BD">
        <w:rPr>
          <w:lang w:val="en-CA"/>
        </w:rPr>
        <w:t>, and teams wanting to compare new surveys to older ones. Nonetheless, more studies in different types of genetic systems, involving different historical demographic events, are needed to explore how the performance of TGI varies with factors that were not tested in our simulations, including 1) the chosen genetic distance algorithm; 2) spati</w:t>
      </w:r>
      <w:r>
        <w:rPr>
          <w:lang w:val="en-CA"/>
        </w:rPr>
        <w:t>o</w:t>
      </w:r>
      <w:r w:rsidRPr="00BD14BD">
        <w:rPr>
          <w:lang w:val="en-CA"/>
        </w:rPr>
        <w:t>temporal autocorrelation in genetic legacies; 3) effective population size; and 4) spatial heterogeneity in landscape resistance to movement.</w:t>
      </w:r>
    </w:p>
    <w:p w14:paraId="0F57E2D1" w14:textId="77777777" w:rsidR="008D3B5A" w:rsidRDefault="008D3B5A" w:rsidP="004775A3">
      <w:pPr>
        <w:spacing w:line="480" w:lineRule="auto"/>
        <w:rPr>
          <w:lang w:val="en-CA"/>
        </w:rPr>
      </w:pPr>
      <w:r>
        <w:rPr>
          <w:lang w:val="en-CA"/>
        </w:rPr>
        <w:t xml:space="preserve">Using a different null model approach could lead to different performance and insight, and permutation is but one </w:t>
      </w:r>
      <w:r w:rsidRPr="00C156C4">
        <w:rPr>
          <w:lang w:val="en-CA"/>
        </w:rPr>
        <w:t>of many possible</w:t>
      </w:r>
      <w:r>
        <w:rPr>
          <w:lang w:val="en-CA"/>
        </w:rPr>
        <w:t xml:space="preserve"> ways to create </w:t>
      </w:r>
      <w:r w:rsidRPr="00C156C4">
        <w:rPr>
          <w:lang w:val="en-CA"/>
        </w:rPr>
        <w:t>reference distributions</w:t>
      </w:r>
      <w:r>
        <w:rPr>
          <w:lang w:val="en-CA"/>
        </w:rPr>
        <w:t xml:space="preserve"> which can be used to build a test by comparison with the observed value. Although comparing different null model approaches was beyond the scope of this paper, preliminary work for this study showed that some permutation algorithms were generally less adequate for FPR and FNR, such as was the case for TBI </w:t>
      </w:r>
      <w:r>
        <w:rPr>
          <w:lang w:val="en-CA"/>
        </w:rPr>
        <w:fldChar w:fldCharType="begin" w:fldLock="1"/>
      </w:r>
      <w:r>
        <w:rPr>
          <w:lang w:val="en-CA"/>
        </w:rPr>
        <w:instrText>ADDIN CSL_CITATION {"citationItems":[{"id":"ITEM-1","itemData":{"DOI":"10.1002/ece3.4984","ISSN":"20457758","abstract":"Aim: This paper presents the statistical bases for temporal beta-diversity analysis, a method to study changes in community composition through time from repeated surveys at several sites. Surveys of that type are presently done by ecologists around the world. A temporal beta-diversity Index (TBI) is computed for each site, measuring the change in species composition between the first (T1) and second surveys (T2). TBI indices can be decomposed into losses and gains; they can also be tested for significance, allowing one to identify the sites that have changed in composition in exceptional ways. This method will be of value to identify exceptional sites in space–time surveys carried out to study anthropogenic impacts, including climate change. Innovation: The null hypothesis of the TBI test is that a species assemblage is not exceptionally different between T1 and T2, compared to assemblages that could have been observed at this site at T1 and T2 under conditions corresponding to H 0 . Tests of significance of coefficients in a dissimilarity matrix are usually not possible because the values in the matrix are interrelated. Here, however, the dissimilarity between T1 and T2 for a site is computed with different data from the dissimilarities used for the T1–T2 comparison at other sites. It is thus possible to compute a valid test of significance in that case. In addition, the paper shows how TBI dissimilarities can be decomposed into loss and gain components (of species, or abundances-per-species) and how a B–C plot can be produced from these components, which informs users about the processes of biodiversity losses and gains through time in space–time survey data. Main conclusion: Three applications of the method to different ecological communities are presented. This method is applicable worldwide to all types of communities, marine, and terrestrial.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surveys","type":"article-journal","volume":"9"},"uris":["http://www.mendeley.com/documents/?uuid=dd75eef2-6999-4a63-9fac-ee5c428095c8"]}],"mendeley":{"formattedCitation":"(Legendre 2019)","plainTextFormattedCitation":"(Legendre 2019)","previouslyFormattedCitation":"(Legendre 2019)"},"properties":{"noteIndex":0},"schema":"https://github.com/citation-style-language/schema/raw/master/csl-citation.json"}</w:instrText>
      </w:r>
      <w:r>
        <w:rPr>
          <w:lang w:val="en-CA"/>
        </w:rPr>
        <w:fldChar w:fldCharType="separate"/>
      </w:r>
      <w:r w:rsidRPr="00184363">
        <w:rPr>
          <w:noProof/>
          <w:lang w:val="en-CA"/>
        </w:rPr>
        <w:t>(Legendre 2019)</w:t>
      </w:r>
      <w:r>
        <w:rPr>
          <w:lang w:val="en-CA"/>
        </w:rPr>
        <w:fldChar w:fldCharType="end"/>
      </w:r>
      <w:r>
        <w:rPr>
          <w:lang w:val="en-CA"/>
        </w:rPr>
        <w:t xml:space="preserve">. Future research may notably include evaluating more complex, multilevel, permutation approaches, and exploring null models which explicitly preserve some components of genetic structure such as isolation-by-environment </w:t>
      </w:r>
      <w:r>
        <w:rPr>
          <w:lang w:val="en-CA"/>
        </w:rPr>
        <w:fldChar w:fldCharType="begin" w:fldLock="1"/>
      </w:r>
      <w:r>
        <w:rPr>
          <w:lang w:val="en-CA"/>
        </w:rPr>
        <w:instrText>ADDIN CSL_CITATION {"citationItems":[{"id":"ITEM-1","itemData":{"DOI":"10.1111/mec.12938","ISSN":"09621083","author":[{"dropping-particle":"","family":"Wang","given":"Ian J.","non-dropping-particle":"","parse-names":false,"suffix":""},{"dropping-particle":"","family":"Bradburd","given":"Gideon S.","non-dropping-particle":"","parse-names":false,"suffix":""}],"container-title":"Molecular Ecology","id":"ITEM-1","issued":{"date-parts":[["2014","9"]]},"page":"n/a-n/a","title":"Isolation by Environment","type":"article-journal"},"uris":["http://www.mendeley.com/documents/?uuid=abd1075b-396c-46be-becb-59ec4a645b18"]}],"mendeley":{"formattedCitation":"(Wang &amp; Bradburd 2014)","plainTextFormattedCitation":"(Wang &amp; Bradburd 2014)","previouslyFormattedCitation":"(Wang &amp; Bradburd 2014)"},"properties":{"noteIndex":0},"schema":"https://github.com/citation-style-language/schema/raw/master/csl-citation.json"}</w:instrText>
      </w:r>
      <w:r>
        <w:rPr>
          <w:lang w:val="en-CA"/>
        </w:rPr>
        <w:fldChar w:fldCharType="separate"/>
      </w:r>
      <w:r w:rsidRPr="00A9176C">
        <w:rPr>
          <w:noProof/>
          <w:lang w:val="en-CA"/>
        </w:rPr>
        <w:t>(Wang &amp; Bradburd 2014)</w:t>
      </w:r>
      <w:r>
        <w:rPr>
          <w:lang w:val="en-CA"/>
        </w:rPr>
        <w:fldChar w:fldCharType="end"/>
      </w:r>
      <w:r>
        <w:rPr>
          <w:lang w:val="en-CA"/>
        </w:rPr>
        <w:t xml:space="preserve">. Previous spatiotemporal research in ecology has shown that null models with increasing levels of complexity provided different insight </w:t>
      </w:r>
      <w:r>
        <w:rPr>
          <w:lang w:val="en-CA"/>
        </w:rPr>
        <w:fldChar w:fldCharType="begin" w:fldLock="1"/>
      </w:r>
      <w:r>
        <w:rPr>
          <w:lang w:val="en-CA"/>
        </w:rPr>
        <w:instrText>ADDIN CSL_CITATION {"citationItems":[{"id":"ITEM-1","itemData":{"DOI":"10.1007/s10980-010-9465-2","ISSN":"09212973","abstract":"We combine wavelet analysis and multiple null models to identify significant spatial scales of pattern and spatial boundaries in historical spruce budworm defoliation in Ontario, Canada. Previous analyses of budworm defoliation in Ontario over the last two outbreaks have suggested three distinct zones of defoliation. We asked the following three questions: (1) is there statistical support for the existence of these three zones? (2) Are the locations of these boundaries consistent between outbreak periods? And (3) how does boundary identification depend on the spatial null model used? Defoliation data for the two outbreak periods (1941–1965 and 1966–2001), and the combined period (1941–2001) were analyzed using a 1D continuous wavelet transform. Boundaries were identified through comparison of wavelet power spectra of each outbreak period to reference distributions based on three different spatial null models: (1) a complete spatial randomness model, (2) an autoregressive model, and (3) a Gaussian random field model. The Gaussian random field model identified coarser scales of pattern than the autoregressive model. Locally, the Gaussian random field model found significant boundaries similar to those previously described, whereas the autoregressive model only did so for the first outbreak. These results indicate that the coarse scale spatial factors that influenced defoliation were more consistent between outbreaks relative to fine scale factors, and that previously described boundaries were strongly driven by the first outbreak. Wavelet analysis combined with spatial null models provides a powerful tool for identifying non-arbitrary scales of structure and significant spatial boundaries in non-stationary ecological data.","author":[{"dropping-particle":"","family":"James","given":"Patrick M. A.","non-dropping-particle":"","parse-names":false,"suffix":""},{"dropping-particle":"","family":"Fleming","given":"Richard a.","non-dropping-particle":"","parse-names":false,"suffix":""},{"dropping-particle":"","family":"Fortin","given":"Marie-Josée","non-dropping-particle":"","parse-names":false,"suffix":""}],"container-title":"Landscape Ecology","id":"ITEM-1","issued":{"date-parts":[["2010"]]},"page":"873-887","title":"Identifying significant scale-specific spatial boundaries using wavelets and null models: Spruce budworm defoliation in Ontario, Canada as a case study","type":"article-journal","volume":"25"},"uris":["http://www.mendeley.com/documents/?uuid=cbd77f14-5fe2-4661-8b37-62f8b48249eb"]}],"mendeley":{"formattedCitation":"(James et al. 2010)","plainTextFormattedCitation":"(James et al. 2010)","previouslyFormattedCitation":"(James et al. 2010)"},"properties":{"noteIndex":0},"schema":"https://github.com/citation-style-language/schema/raw/master/csl-citation.json"}</w:instrText>
      </w:r>
      <w:r>
        <w:rPr>
          <w:lang w:val="en-CA"/>
        </w:rPr>
        <w:fldChar w:fldCharType="separate"/>
      </w:r>
      <w:r w:rsidRPr="00ED03C6">
        <w:rPr>
          <w:noProof/>
          <w:lang w:val="en-CA"/>
        </w:rPr>
        <w:t>(James et al. 2010)</w:t>
      </w:r>
      <w:r>
        <w:rPr>
          <w:lang w:val="en-CA"/>
        </w:rPr>
        <w:fldChar w:fldCharType="end"/>
      </w:r>
      <w:r>
        <w:rPr>
          <w:lang w:val="en-CA"/>
        </w:rPr>
        <w:t xml:space="preserve">, but that the usefulness of complex null models could be offset very long </w:t>
      </w:r>
      <w:r>
        <w:rPr>
          <w:lang w:val="en-CA"/>
        </w:rPr>
        <w:lastRenderedPageBreak/>
        <w:t xml:space="preserve">computation time </w:t>
      </w:r>
      <w:r>
        <w:rPr>
          <w:lang w:val="en-CA"/>
        </w:rPr>
        <w:fldChar w:fldCharType="begin" w:fldLock="1"/>
      </w:r>
      <w:r>
        <w:rPr>
          <w:lang w:val="en-CA"/>
        </w:rPr>
        <w:instrText>ADDIN CSL_CITATION {"citationItems":[{"id":"ITEM-1","itemData":{"DOI":"10.1093/molbev/msu212","ISSN":"15371719","PMID":"25016583","abstract":"Understanding the demographic history of populations and species is a central issue in evolutionary biology and molecular ecology. In this work, we develop a maximum-likelihood method for the inference of past changes in population size from microsatellite allelic data. Our method is based on importance sampling of gene genealogies, extended for new mutation models, notably the generalized stepwise mutation model (GSM). Using simulations, we test its performance to detect and characterize past reductions in population size. First, we test the estimation precision and confidence intervals coverage properties under ideal conditions, then we compare the accuracy of the estimation with another available method (MSVAR) and we finally test its robustness to misspecification of the mutational model and population structure. We show that our method is very competitive compared with alternative ones. Moreover, our implementation of a GSM allows more accurate analysis of microsatellite data, as we show that the violations of a single step mutation assumption induce very high bias toward false contraction detection rates. However, our simulation tests also showed some limits, which most importantly are large computation times for strong disequilibrium scenarios and a strong influence of some form of unaccounted population structure. This inference method is available in the latest implementation of the MIGRAINE software package.","author":[{"dropping-particle":"","family":"Leblois","given":"Raphaël","non-dropping-particle":"","parse-names":false,"suffix":""},{"dropping-particle":"","family":"Pudlo","given":"Pierre","non-dropping-particle":"","parse-names":false,"suffix":""},{"dropping-particle":"","family":"Néron","given":"Joseph","non-dropping-particle":"","parse-names":false,"suffix":""},{"dropping-particle":"","family":"Bertaux","given":"François","non-dropping-particle":"","parse-names":false,"suffix":""},{"dropping-particle":"","family":"Reddy Beeravolu","given":"Champak","non-dropping-particle":"","parse-names":false,"suffix":""},{"dropping-particle":"","family":"Vitalis","given":"Renaud","non-dropping-particle":"","parse-names":false,"suffix":""},{"dropping-particle":"","family":"Rousset","given":"François","non-dropping-particle":"","parse-names":false,"suffix":""}],"container-title":"Molecular Biology and Evolution","id":"ITEM-1","issue":"10","issued":{"date-parts":[["2014"]]},"page":"2805-2823","title":"Maximum-likelihood inference of population size contractions from microsatellite data","type":"article-journal","volume":"31"},"uris":["http://www.mendeley.com/documents/?uuid=bc74b7b6-089b-4ae8-b80b-4d610bf1998e"]}],"mendeley":{"formattedCitation":"(Leblois et al. 2014)","plainTextFormattedCitation":"(Leblois et al. 2014)","previouslyFormattedCitation":"(Leblois et al. 2014)"},"properties":{"noteIndex":0},"schema":"https://github.com/citation-style-language/schema/raw/master/csl-citation.json"}</w:instrText>
      </w:r>
      <w:r>
        <w:rPr>
          <w:lang w:val="en-CA"/>
        </w:rPr>
        <w:fldChar w:fldCharType="separate"/>
      </w:r>
      <w:r w:rsidRPr="00ED03C6">
        <w:rPr>
          <w:noProof/>
          <w:lang w:val="en-CA"/>
        </w:rPr>
        <w:t>(Leblois et al. 2014)</w:t>
      </w:r>
      <w:r>
        <w:rPr>
          <w:lang w:val="en-CA"/>
        </w:rPr>
        <w:fldChar w:fldCharType="end"/>
      </w:r>
      <w:r>
        <w:rPr>
          <w:lang w:val="en-CA"/>
        </w:rPr>
        <w:t xml:space="preserve">, and by the risk of overfitting </w:t>
      </w:r>
      <w:r>
        <w:rPr>
          <w:lang w:val="en-CA"/>
        </w:rPr>
        <w:fldChar w:fldCharType="begin" w:fldLock="1"/>
      </w:r>
      <w:r>
        <w:rPr>
          <w:lang w:val="en-CA"/>
        </w:rPr>
        <w:instrText>ADDIN CSL_CITATION {"citationItems":[{"id":"ITEM-1","itemData":{"DOI":"10.1111/jbi.13573","ISSN":"13652699","abstract":"Aim: Ecological niche modelling requires robust estimation of model performance and significance, but common evaluation approaches often yield biased estimates. Null models provide a solution but are rarely used in this field. We implemented an important modification to existing null model tests, evaluating null models with the same withheld records that were used to evaluate the real model. We built and evaluated models across a range of modelling scenarios and for various performance measures using the algorithm Maxent and the monk parakeet (Myiopsitta monachus). Location: Native range in Southern America and global invasions predominantly in North/Central America and Europe. Methods: We tested the ability of models built under 15 scenarios (five sets of calibration records and three settings that varied the level of model complexity) to predict spatially independent evaluation data in the invaded range (in effect, testing the models under spatial transfer). We quantified performance with measures of discriminatory ability and overfitting based on area under the receiver operating characteristic curve (AUC) and the omission error rate. We estimated null distributions of these measures and calculated effect size and significance. We determined how these estimates varied across modelling scenarios, comparing with two tests existing in the literature. Results: Performance varied starkly across modelling scenarios. As expected, the measures of overfitting agreed with each other and provided different information than that of discriminatory ability. However, high performance per se did not show strong association with high effect size and significance. Main Conclusions: Ecological niche models should be assessed with measures of effect size and significance based on appropriate null distributions, in contrast to several approaches existing in the literature. The proposed approach using independent evaluation data, implemented with our accompanying code and R package, allows such estimates for either the same or a different region/time period, and it merits use and continued development.","author":[{"dropping-particle":"","family":"Bohl","given":"Corentin L.","non-dropping-particle":"","parse-names":false,"suffix":""},{"dropping-particle":"","family":"Kass","given":"Jamie M.","non-dropping-particle":"","parse-names":false,"suffix":""},{"dropping-particle":"","family":"Anderson","given":"Robert P.","non-dropping-particle":"","parse-names":false,"suffix":""}],"container-title":"Journal of Biogeography","id":"ITEM-1","issue":"6","issued":{"date-parts":[["2019"]]},"page":"1101-1111","title":"A new null model approach to quantify performance and significance for ecological niche models of species distributions","type":"article-journal","volume":"46"},"uris":["http://www.mendeley.com/documents/?uuid=f14de3e5-a81d-4a1e-8536-be251f506404"]}],"mendeley":{"formattedCitation":"(Bohl et al. 2019)","plainTextFormattedCitation":"(Bohl et al. 2019)","previouslyFormattedCitation":"(Bohl et al. 2019)"},"properties":{"noteIndex":0},"schema":"https://github.com/citation-style-language/schema/raw/master/csl-citation.json"}</w:instrText>
      </w:r>
      <w:r>
        <w:rPr>
          <w:lang w:val="en-CA"/>
        </w:rPr>
        <w:fldChar w:fldCharType="separate"/>
      </w:r>
      <w:r w:rsidRPr="005D7F52">
        <w:rPr>
          <w:noProof/>
          <w:lang w:val="en-CA"/>
        </w:rPr>
        <w:t>(Bohl et al. 2019)</w:t>
      </w:r>
      <w:r>
        <w:rPr>
          <w:lang w:val="en-CA"/>
        </w:rPr>
        <w:fldChar w:fldCharType="end"/>
      </w:r>
      <w:r>
        <w:rPr>
          <w:lang w:val="en-CA"/>
        </w:rPr>
        <w:t xml:space="preserve">. The performance of more complex null models may also be more sensitive to threshold choice </w:t>
      </w:r>
      <w:r>
        <w:rPr>
          <w:lang w:val="en-CA"/>
        </w:rPr>
        <w:fldChar w:fldCharType="begin" w:fldLock="1"/>
      </w:r>
      <w:r>
        <w:rPr>
          <w:lang w:val="en-CA"/>
        </w:rPr>
        <w:instrText>ADDIN CSL_CITATION {"citationItems":[{"id":"ITEM-1","itemData":{"DOI":"10.1016/j.ecolmodel.2010.11.016","ISSN":"03043800","abstract":"Nowadays, species are driven to extinction at a high rate. To reduce this rate it is important to delineate suitable habitats for these species in such a way that these areas can be suggested as conservation areas. The use of habitat suitability models (HSMs) can be of great importance for the delineation of such areas. In this study MaxEnt, a presence-only modelling technique, is used to develop HSMs for 223 nematode species of the Southern Bight of the North Sea. However, it is essential that these models are beyond discussion and they should be checked for potential errors. In this study we focused on two categories (1) errors which can be attributed to the database such as preferential sampling and spatial autocorrelation and (2) errors induced by the modelling technique such as overfitting, In order to quantify these adverse effects thousands of nulls models were created. The effect of preferential sampling (i.e. some areas where visited more frequenty than others) was investigated by comparing model outcomes based from null models sampling the actual sampling stations and null models sampling the entire mapping area (Raes and ter Steege, 2007). Overfitting is exposed by a fivefold cross-validation and the influence of spatial autocorrelation is assessed by separating test and training sets in space. Our results clearly show that all these effects are present: preferential sampling has a strong effect on the selection of non-random species models. Crossvalidation seems to have less influence on the model selection and spatial autocorrelation is also strongly present. It is clear from this study that predefined thresholds are not readily applicable to all datasets and additional tests are needed in model selection. © 2010 Elsevier B.V.","author":[{"dropping-particle":"","family":"Merckx","given":"Bea","non-dropping-particle":"","parse-names":false,"suffix":""},{"dropping-particle":"","family":"Steyaert","given":"Maaike","non-dropping-particle":"","parse-names":false,"suffix":""},{"dropping-particle":"","family":"Vanreusel","given":"Ann","non-dropping-particle":"","parse-names":false,"suffix":""},{"dropping-particle":"","family":"Vincx","given":"Magda","non-dropping-particle":"","parse-names":false,"suffix":""},{"dropping-particle":"","family":"Vanaverbeke","given":"Jan","non-dropping-particle":"","parse-names":false,"suffix":""}],"container-title":"Ecological Modelling","id":"ITEM-1","issue":"3","issued":{"date-parts":[["2011"]]},"page":"588-597","publisher":"Elsevier B.V.","title":"Null models reveal preferential sampling, spatial autocorrelation and overfitting in habitat suitability modelling","type":"article-journal","volume":"222"},"uris":["http://www.mendeley.com/documents/?uuid=cf646a9b-eb7d-4e5b-bce5-8c0ae4c44b03"]}],"mendeley":{"formattedCitation":"(Merckx et al. 2011)","plainTextFormattedCitation":"(Merckx et al. 2011)","previouslyFormattedCitation":"(Merckx et al. 2011)"},"properties":{"noteIndex":0},"schema":"https://github.com/citation-style-language/schema/raw/master/csl-citation.json"}</w:instrText>
      </w:r>
      <w:r>
        <w:rPr>
          <w:lang w:val="en-CA"/>
        </w:rPr>
        <w:fldChar w:fldCharType="separate"/>
      </w:r>
      <w:r w:rsidRPr="006377BD">
        <w:rPr>
          <w:noProof/>
          <w:lang w:val="en-CA"/>
        </w:rPr>
        <w:t>(Merckx et al. 2011)</w:t>
      </w:r>
      <w:r>
        <w:rPr>
          <w:lang w:val="en-CA"/>
        </w:rPr>
        <w:fldChar w:fldCharType="end"/>
      </w:r>
      <w:r>
        <w:rPr>
          <w:lang w:val="en-CA"/>
        </w:rPr>
        <w:t>, which is another reason why evaluating a range of threshold values, such as in this study, is pertinent.</w:t>
      </w:r>
    </w:p>
    <w:p w14:paraId="0EA7049C" w14:textId="0CBC50BB" w:rsidR="008D3B5A" w:rsidRDefault="008D3B5A" w:rsidP="004775A3">
      <w:pPr>
        <w:spacing w:line="480" w:lineRule="auto"/>
        <w:rPr>
          <w:lang w:val="en-GB"/>
        </w:rPr>
      </w:pPr>
      <w:r>
        <w:rPr>
          <w:lang w:val="en-CA"/>
        </w:rPr>
        <w:t xml:space="preserve">TBI has inspired TGI but there are some reciprocal opportunities brought by insights generated through it’s porting to genetic data. We showed that dispersal, through gene flow, had profound effects on our ability to detect change. Dispersal is also a key element of community dynamics </w:t>
      </w:r>
      <w:r>
        <w:rPr>
          <w:lang w:val="en-CA"/>
        </w:rPr>
        <w:fldChar w:fldCharType="begin" w:fldLock="1"/>
      </w:r>
      <w:r>
        <w:rPr>
          <w:lang w:val="en-CA"/>
        </w:rPr>
        <w:instrText>ADDIN CSL_CITATION {"citationItems":[{"id":"ITEM-1","itemData":{"author":[{"dropping-particle":"","family":"Hubbell","given":"Stephen P.","non-dropping-particle":"","parse-names":false,"suffix":""}],"id":"ITEM-1","issued":{"date-parts":[["2011"]]},"number-of-pages":"392","publisher":"Princeton University Press","publisher-place":"Princeton, NJ, USA","title":"The unified neutral theory of biodiversity and biogeography","type":"book"},"uris":["http://www.mendeley.com/documents/?uuid=0848e7f1-b0ee-4d26-9440-7f01686133cb"]}],"mendeley":{"formattedCitation":"(Hubbell 2011)","plainTextFormattedCitation":"(Hubbell 2011)","previouslyFormattedCitation":"(Hubbell 2011)"},"properties":{"noteIndex":0},"schema":"https://github.com/citation-style-language/schema/raw/master/csl-citation.json"}</w:instrText>
      </w:r>
      <w:r>
        <w:rPr>
          <w:lang w:val="en-CA"/>
        </w:rPr>
        <w:fldChar w:fldCharType="separate"/>
      </w:r>
      <w:r w:rsidRPr="002D4231">
        <w:rPr>
          <w:noProof/>
          <w:lang w:val="en-CA"/>
        </w:rPr>
        <w:t>(Hubbell 2011)</w:t>
      </w:r>
      <w:r>
        <w:rPr>
          <w:lang w:val="en-CA"/>
        </w:rPr>
        <w:fldChar w:fldCharType="end"/>
      </w:r>
      <w:r>
        <w:rPr>
          <w:lang w:val="en-CA"/>
        </w:rPr>
        <w:t xml:space="preserve">, and we know that it influences community assembly and mediates community response to an environmental change </w:t>
      </w:r>
      <w:r>
        <w:rPr>
          <w:lang w:val="en-CA"/>
        </w:rPr>
        <w:fldChar w:fldCharType="begin" w:fldLock="1"/>
      </w:r>
      <w:r>
        <w:rPr>
          <w:lang w:val="en-CA"/>
        </w:rPr>
        <w:instrText>ADDIN CSL_CITATION {"citationItems":[{"id":"ITEM-1","itemData":{"DOI":"10.1111/ele.12733","ISSN":"14610248","PMID":"28093844","abstract":"A major challenge in ecology, conservation and global-change biology is to understand why biodiversity responds differently to similar environmental changes. Contingent biodiversity responses may depend on how disturbance and dispersal interact to alter variation in community composition (β-diversity) and assembly mechanisms. However, quantitative syntheses of these patterns and processes across studies are lacking. Using null-models and meta-analyses of 22 factorial experiments in herbaceous plant communities across Europe and North America, we show that disturbance diversifies communities when dispersal is limited, but homogenises communities when combined with increased immigration from the species pool. In contrast to the hypothesis that disturbance and dispersal mediate the strength of niche assembly, both processes altered β-diversity through neutral-sampling effects on numbers of individuals and species in communities. Our synthesis suggests that stochastic effects of disturbance and dispersal on community assembly play an important, but underappreciated, role in mediating biotic homogenisation and biodiversity responses to environmental change.","author":[{"dropping-particle":"","family":"Catano","given":"Christopher P.","non-dropping-particle":"","parse-names":false,"suffix":""},{"dropping-particle":"","family":"Dickson","given":"Timothy L.","non-dropping-particle":"","parse-names":false,"suffix":""},{"dropping-particle":"","family":"Myers","given":"Jonathan A.","non-dropping-particle":"","parse-names":false,"suffix":""}],"container-title":"Ecology Letters","id":"ITEM-1","issue":"3","issued":{"date-parts":[["2017"]]},"page":"347-356","title":"Dispersal and neutral sampling mediate contingent effects of disturbance on plant beta-diversity: a meta-analysis","type":"article-journal","volume":"20"},"uris":["http://www.mendeley.com/documents/?uuid=d2f7ca17-a524-43c9-a7e2-1397f7df4182"]},{"id":"ITEM-2","itemData":{"DOI":"10.1126/science.1066854","ISSN":"00368075","PMID":"11809969","abstract":"The high alpha-diversity of tropical forests has been amply documented, but beta-diversity - how species composition changes with distance - has seldom been studied. We present quantitative estimates of beta-diversity for tropical trees by comparing species composition of plots in lowland terra firme forest in Panama, Ecuador, and Peru. We compare observations with predictions derived from a neutral model in which habitat is uniform and only dispersal and speciation influence species turnover. We find that beta-diversity is higher in Panama than in western Amazonia and that patterns in both areas are inconsistent with the neutral model. In Panama, habitat variation appears to increase species turnover relative to Amazonia, where unexpectedly low turnover over great distances suggests that population densities of some species are bounded by as yet unidentified processes. At intermediate scales in both regions, observations can be matched by theory, suggesting that dispersal limitation, with speciation, influences species turnover.","author":[{"dropping-particle":"","family":"Condit","given":"Richard","non-dropping-particle":"","parse-names":false,"suffix":""},{"dropping-particle":"","family":"Pitman","given":"Nigel","non-dropping-particle":"","parse-names":false,"suffix":""},{"dropping-particle":"","family":"Leigh","given":"Egbert G.","non-dropping-particle":"","parse-names":false,"suffix":""},{"dropping-particle":"","family":"Chave","given":"Jérôme","non-dropping-particle":"","parse-names":false,"suffix":""},{"dropping-particle":"","family":"Terborgh","given":"John","non-dropping-particle":"","parse-names":false,"suffix":""},{"dropping-particle":"","family":"Foster","given":"Robin B.","non-dropping-particle":"","parse-names":false,"suffix":""},{"dropping-particle":"V.","family":"Núñez","given":"Percy","non-dropping-particle":"","parse-names":false,"suffix":""},{"dropping-particle":"","family":"Aguilar","given":"Salomón","non-dropping-particle":"","parse-names":false,"suffix":""},{"dropping-particle":"","family":"Valencia","given":"Renato","non-dropping-particle":"","parse-names":false,"suffix":""},{"dropping-particle":"","family":"Villa","given":"Gorky","non-dropping-particle":"","parse-names":false,"suffix":""},{"dropping-particle":"","family":"Muller-Landau","given":"Helene C.","non-dropping-particle":"","parse-names":false,"suffix":""},{"dropping-particle":"","family":"Losos","given":"Elizabeth","non-dropping-particle":"","parse-names":false,"suffix":""},{"dropping-particle":"","family":"Hubbell","given":"Stephen P.","non-dropping-particle":"","parse-names":false,"suffix":""}],"container-title":"Science.","id":"ITEM-2","issue":"5555","issued":{"date-parts":[["2002"]]},"page":"666-669","title":"Beta-diversity in tropical forest trees","type":"article-journal","volume":"295"},"uris":["http://www.mendeley.com/documents/?uuid=7d80a841-6a51-4002-8c35-a569cc6a711f"]},{"id":"ITEM-3","itemData":{"DOI":"10.1016/j.ppees.2016.10.001","ISSN":"16180437","abstract":"Spatial variation in species composition (‘beta diversity’) is comprised of two components, spatial turnover and nestedness. Disentangling the drivers of each component allows a refined evaluation of the community assembly mechanisms that generate regional diversity patterns. This study examines how environmental sorting as well as past and present dispersal processes regulate spatial turnover and nestedness of plant species in human-transformed grassland landscapes, and whether the relative importance of these drivers varies among two landscapes with contrasting regional soil productivity. We found that nestedness always resulted from differences in historical connectivity to the characteristic species pool of pre-transformed calcareous grassland landscapes, irrespective of regional productivity. This was probably due to dispersal limitation of numerous species from this rich species pool under current landscape configuration and management, the absence of which cannot be compensated for by contemporary immigration rates in modern landscapes. By contrast, spatial turnover was driven by opposing mechanisms in nutrient-rich vs. nutrient-poor landscapes. In the landscape with low soil fertility due to phosphorous (P) limitation, spatial turnover was generated by variation in past and present dispersal processes. In the fertile landscape, species turnover was driven by environmental factors and increased mainly with differences in P and nitrate supply. The findings are consistent with theoretical considerations and empirical evidence from small-scale experiments that often find a reduced importance of dispersal at higher soil resource supply, showing that this pattern also manifests at the landscape scale. In summary, our study indicates that contrasting assembly mechanisms generate spatial compositional turnover in landscapes with contrasting soil conditions, which has significant implications for conservation and habitat restoration. It also demonstrates that detailed reconstructions of the land-use history of individual sites and their surroundings are critical for understanding beta diversity in human-transformed landscapes.","author":[{"dropping-particle":"","family":"Conradi","given":"Timo","non-dropping-particle":"","parse-names":false,"suffix":""},{"dropping-particle":"","family":"Temperton","given":"Vicky M.","non-dropping-particle":"","parse-names":false,"suffix":""},{"dropping-particle":"","family":"Kollmann","given":"Johannes","non-dropping-particle":"","parse-names":false,"suffix":""}],"container-title":"Perspectives in Plant Ecology, Evolution and Systematics","id":"ITEM-3","issued":{"date-parts":[["2017"]]},"page":"1-10","publisher":"Elsevier GmbH.","title":"Beta diversity of plant species in human-transformed landscapes: Control of community assembly by regional productivity and historical connectivity","type":"article-journal","volume":"24"},"uris":["http://www.mendeley.com/documents/?uuid=5ea3dc9c-95eb-4c03-af85-2958bdb3f04b"]},{"id":"ITEM-4","itemData":{"DOI":"10.1111/j.1466-8238.2009.00450.x","ISSN":"1466822X","abstract":"Aim: To test the hypothesis that plant species with a higher dispersal ability have a lower beta diversity. Location: North America north of Mexico. Method: Propagules of pteridophytes (ferns and their allies) are more vagile than propagules of spermatophytes (gymnosperms and angiosperms), and thus pteridophytes have a higher dispersal ability than do spermatophytes. The study area was divided into 71 geographical units distributed in five latitudinal zones. Species lists of pteridophytes and spermatophytes were compiled for each geographical unit. Three measures of beta diversity were used: β sim, which is one minus the Simpson index of similarity, β slope, which is the slope of the relationship between Simpson index and geographical distance, and β 0.5-distance, which is the distance that halves the similarity from its initial value. Results: Average β sim is higher for spermatophytes than for pteridophytes, regardless of whether the data are analysed for the whole continent or for latitudinal zones. Average β sim decreases with increasing latitude for both spermatophytes and pteridophytes. The difference in average β sim between the two plant groups increases with increasing latitude, indicating that beta diversity decreases with increasing latitude faster for pteridophytes than for spermatophytes. When the Simpson index is regressed against geographical distance, the regression slope (β slope) is steeper for spermatophytes than for pteridophytes, and th</w:instrText>
      </w:r>
      <w:r w:rsidRPr="00A85A4F">
        <w:rPr>
          <w:lang w:val="fr-FR"/>
        </w:rPr>
        <w:instrText xml:space="preserve">e slope decreases with increasing latitude for both plant groups. Similarly, </w:instrText>
      </w:r>
      <w:r>
        <w:rPr>
          <w:lang w:val="en-CA"/>
        </w:rPr>
        <w:instrText>β</w:instrText>
      </w:r>
      <w:r w:rsidRPr="00A85A4F">
        <w:rPr>
          <w:lang w:val="fr-FR"/>
        </w:rPr>
        <w:instrText xml:space="preserve"> 0.5-distance was shorter for spermatophytes than for pteridophytes in each latitudinal zone and increased with increasing latitude for both plant groups. The results of the analyses using the three different measures of beta diversity are consistent. Main conclusions: The fact that beta diversity is lower for pteridophytes with vagile propagules than for spermatophytes with less vagile propagules suggests that beta diversity is negatively related to dispersal ability. © 2009 Blackwell Publishing.","author":[{"dropping-particle":"","family":"Qian","given":"Hong","non-dropping-particle":"","parse-names":false,"suffix":""}],"container-title":"Global Ecology and Biogeography","id":"ITEM-4","issue":"3","issued":{"date-parts":[["2009"]]},"page":"327-332","title":"Beta diversity in relation to dispersal ability for vascular plants in North America","type":"article-journal","volume":"18"},"uris":["http://www.mendeley.com/documents/?uuid=ff153877-5d35-41aa-9aa4-9472f2dc2acb"]}],"mendeley":{"formattedCitation":"(Catano et al. 2017; Condit et al. 2002; Conradi et al. 2017; Qian 2009)","plainTextFormattedCitation":"(Catano et al. 2017; Condit et al. 2002; Conradi et al. 2017; Qian 2009)","previouslyFormattedCitation":"(Catano et al. 2017; Condit et al. 2002; Conradi et al. 2017; Qian 2009)"},"properties":{"noteIndex":0},"schema":"https://github.com/citation-style-language/schema/raw/master/csl-citation.json"}</w:instrText>
      </w:r>
      <w:r>
        <w:rPr>
          <w:lang w:val="en-CA"/>
        </w:rPr>
        <w:fldChar w:fldCharType="separate"/>
      </w:r>
      <w:r w:rsidRPr="000D403F">
        <w:rPr>
          <w:noProof/>
          <w:lang w:val="fr-FR"/>
        </w:rPr>
        <w:t>(Catano et al. 2017; Condit et al. 2002; Conradi et al. 2017; Qian 2009)</w:t>
      </w:r>
      <w:r>
        <w:rPr>
          <w:lang w:val="en-CA"/>
        </w:rPr>
        <w:fldChar w:fldCharType="end"/>
      </w:r>
      <w:r w:rsidRPr="000D403F">
        <w:rPr>
          <w:lang w:val="fr-FR"/>
        </w:rPr>
        <w:t>.</w:t>
      </w:r>
      <w:r>
        <w:rPr>
          <w:lang w:val="fr-FR"/>
        </w:rPr>
        <w:t xml:space="preserve"> </w:t>
      </w:r>
      <w:r>
        <w:rPr>
          <w:lang w:val="en-GB"/>
        </w:rPr>
        <w:t>Dispersion limitation is not constant across different species and preserving the range of dispersal abilities through a change in the permutation algorithm may increase</w:t>
      </w:r>
      <w:r w:rsidRPr="0046798A">
        <w:rPr>
          <w:lang w:val="en-GB"/>
        </w:rPr>
        <w:t xml:space="preserve"> TBI p</w:t>
      </w:r>
      <w:r>
        <w:rPr>
          <w:lang w:val="en-GB"/>
        </w:rPr>
        <w:t xml:space="preserve">erformance, especially for fine grain/large extent landscapes, and for communities with strong distance decay in similarity. Another insight brought by our study, which also interacts with dispersal, is the window of the time during which the signal of community-changing event may be detectable using TBI. This is especially important to consider as species having different dispersal abilities may differently recolonize and the gains and losses part of a TGI analysis </w:t>
      </w:r>
      <w:r>
        <w:rPr>
          <w:lang w:val="en-GB"/>
        </w:rPr>
        <w:fldChar w:fldCharType="begin" w:fldLock="1"/>
      </w:r>
      <w:r>
        <w:rPr>
          <w:lang w:val="en-GB"/>
        </w:rPr>
        <w:instrText>ADDIN CSL_CITATION {"citationItems":[{"id":"ITEM-1","itemData":{"DOI":"10.1002/ece3.4984","ISSN":"20457758","abstract":"Aim: This paper presents the statistical bases for temporal beta-diversity analysis, a method to study changes in community composition through time from repeated surveys at several sites. Surveys of that type are presently done by ecologists around the world. A temporal beta-diversity Index (TBI) is computed for each site, measuring the change in species composition between the first (T1) and second surveys (T2). TBI indices can be decomposed into losses and gains; they can also be tested for significance, allowing one to identify the sites that have changed in composition in exceptional ways. This method will be of value to identify exceptional sites in space–time surveys carried out to study anthropogenic impacts, including climate change. Innovation: The null hypothesis of the TBI test is that a species assemblage is not exceptionally different between T1 and T2, compared to assemblages that could have been observed at this site at T1 and T2 under conditions corresponding to H 0 . Tests of significance of coefficients in a dissimilarity matrix are usually not possible because the values in the matrix are interrelated. Here, however, the dissimilarity between T1 and T2 for a site is computed with different data from the dissimilarities used for the T1–T2 comparison at other sites. It is thus possible to compute a valid test of significance in that case. In addition, the paper shows how TBI dissimilarities can be decomposed into loss and gain components (of species, or abundances-per-species) and how a B–C plot can be produced from these components, which informs users about the processes of biodiversity losses and gains through time in space–time survey data. Main conclusion: Three applications of the method to different ecological communities are presented. This method is applicable worldwide to all types of communities, marine, and terrestrial.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surveys","type":"article-journal","volume":"9"},"uris":["http://www.mendeley.com/documents/?uuid=dd75eef2-6999-4a63-9fac-ee5c428095c8"]}],"mendeley":{"formattedCitation":"(Legendre 2019)","plainTextFormattedCitation":"(Legendre 2019)","previouslyFormattedCitation":"(Legendre 2019)"},"properties":{"noteIndex":0},"schema":"https://github.com/citation-style-language/schema/raw/master/csl-citation.json"}</w:instrText>
      </w:r>
      <w:r>
        <w:rPr>
          <w:lang w:val="en-GB"/>
        </w:rPr>
        <w:fldChar w:fldCharType="separate"/>
      </w:r>
      <w:r w:rsidRPr="00CA6B96">
        <w:rPr>
          <w:noProof/>
          <w:lang w:val="en-GB"/>
        </w:rPr>
        <w:t>(Legendre 2019)</w:t>
      </w:r>
      <w:r>
        <w:rPr>
          <w:lang w:val="en-GB"/>
        </w:rPr>
        <w:fldChar w:fldCharType="end"/>
      </w:r>
      <w:r>
        <w:rPr>
          <w:lang w:val="en-GB"/>
        </w:rPr>
        <w:t xml:space="preserve"> may therefore be dependent on the time since the event. Integrating TGI and TBI in a multi-scale community genetics </w:t>
      </w:r>
      <w:r>
        <w:rPr>
          <w:lang w:val="en-GB"/>
        </w:rPr>
        <w:fldChar w:fldCharType="begin" w:fldLock="1"/>
      </w:r>
      <w:r w:rsidR="00606374">
        <w:rPr>
          <w:lang w:val="en-GB"/>
        </w:rPr>
        <w:instrText>ADDIN CSL_CITATION {"citationItems":[{"id":"ITEM-1","itemData":{"DOI":"10.1371/journal.pone.0025359","ISBN":"1932-6203","ISSN":"1932-6203","PMID":"21991309","abstract":"Spatial patterns of genetic variation in interacting species can identify shared features that are important to gene flow and can elucidate co-evolutionary relationships. We assessed concordance in spatial genetic variation between the mountain pine beetle (Dendroctonus ponderosae) and one of its fungal symbionts, Grosmanniaclavigera, in western Canada using neutral genetic markers. We examined how spatial heterogeneity affects genetic variation within beetles and fungi and developed a novel integrated landscape genetics approach to assess reciprocal genetic influences between species using constrained ordination. We also compared landscape genetic models built using Euclidean distances based on allele frequencies to traditional pair-wise Fst. Both beetles and fungi exhibited moderate levels of genetic structure over the total study area, low levels of structure in the south, and more pronounced fungal structure in the north. Beetle genetic variation was associated with geographic location while that of the fungus was not. Pinevolume and climate explained beetle genetic variation in the northern region of recent outbreak expansion. Reciprocal genetic relationships were only detectedin the south where there has been alonger history of beetle infestations. The Euclidean distance and Fst-based analyses resulted in similar models in the north and over the entire study area, but differences between methods in the south suggest that genetic distances measures should be selected based on ecological and evolutionary contexts. The integrated landscape genetics framework we present is powerful, general, and can be applied to other systems to quantify the biotic and abiotic determinants of spatial genetic variation within and among taxa.","author":[{"dropping-particle":"","family":"James","given":"Patrick M. A.","non-dropping-particle":"","parse-names":false,"suffix":""},{"dropping-particle":"","family":"Coltman","given":"Dave W.","non-dropping-particle":"","parse-names":false,"suffix":""},{"dropping-particle":"","family":"Murray","given":"Brent W.","non-dropping-particle":"","parse-names":false,"suffix":""},{"dropping-particle":"","family":"Hamelin","given":"Richard C.","non-dropping-particle":"","parse-names":false,"suffix":""},{"dropping-particle":"","family":"Sperling","given":"Felix A.H.","non-dropping-particle":"","parse-names":false,"suffix":""}],"container-title":"PLoS ONE","id":"ITEM-1","issue":"10","issued":{"date-parts":[["2011","1"]]},"page":"e25359","title":"Spatial genetic structure of a symbiotic beetle-fungal system: Toward multi-taxa integrated landscape genetics","type":"article-journal","volume":"6"},"uris":["http://www.mendeley.com/documents/?uuid=01b35504-33d8-4f4e-b938-fd941c2ffea9"]}],"mendeley":{"formattedCitation":"(James et al. 2011)","plainTextFormattedCitation":"(James et al. 2011)","previouslyFormattedCitation":"(James et al. 2011a)"},"properties":{"noteIndex":0},"schema":"https://github.com/citation-style-language/schema/raw/master/csl-citation.json"}</w:instrText>
      </w:r>
      <w:r>
        <w:rPr>
          <w:lang w:val="en-GB"/>
        </w:rPr>
        <w:fldChar w:fldCharType="separate"/>
      </w:r>
      <w:r w:rsidR="00606374" w:rsidRPr="00606374">
        <w:rPr>
          <w:noProof/>
          <w:lang w:val="en-GB"/>
        </w:rPr>
        <w:t>(James et al. 2011)</w:t>
      </w:r>
      <w:r>
        <w:rPr>
          <w:lang w:val="en-GB"/>
        </w:rPr>
        <w:fldChar w:fldCharType="end"/>
      </w:r>
      <w:r>
        <w:rPr>
          <w:lang w:val="en-GB"/>
        </w:rPr>
        <w:t xml:space="preserve"> change approach, and testing the trajectory </w:t>
      </w:r>
      <w:r>
        <w:rPr>
          <w:lang w:val="en-GB"/>
        </w:rPr>
        <w:fldChar w:fldCharType="begin" w:fldLock="1"/>
      </w:r>
      <w:r>
        <w:rPr>
          <w:lang w:val="en-GB"/>
        </w:rPr>
        <w:instrText>ADDIN CSL_CITATION {"citationItems":[{"id":"ITEM-1","itemData":{"DOI":"10.1002/ecm.1350","ISSN":"15577015","abstract":"Ecologists have long been interested in how communities change over time. Addressing questions about community dynamics requires ways of representing and comparing the variety of dynamics observed across space. Until now, most analytical frameworks have been based on the comparison of synchronous observations across sites and between repeated surveys. An alternative perspective considers community dynamics as trajectories in a chosen space of community resemblance and utilizes trajectories as objects to be analyzed and compared using their geometry. While methods that take this second perspective exist, for example to test for particular trajectory shapes, there is a need for formal analytical frameworks that fully develop the potential of this approach. By adapting concepts and procedures used for the analysis of spatial trajectories, we present a framework for describing and comparing community trajectories. A key element of our contribution is the means to assess the geometric resemblance between trajectories, which allows users to describe, quantify, and analyze variation in community dynamics. We illustrate the behavior of our framework using simulated data and two spatiotemporal community data sets differing in the community properties of interest (species composition vs. size distribution of individuals). We conclude by evaluating the advantages and limitations of our community trajectory analysis framework, highlighting its broad domain of application and anticipating potential extensions.","author":[{"dropping-particle":"","family":"Cáceres","given":"Miquel","non-dropping-particle":"De","parse-names":false,"suffix":""},{"dropping-particle":"","family":"Coll","given":"Lluís","non-dropping-particle":"","parse-names":false,"suffix":""},{"dropping-particle":"","family":"Legendre","given":"Pierre","non-dropping-particle":"","parse-names":false,"suffix":""},{"dropping-particle":"","family":"Allen","given":"Robert B.","non-dropping-particle":"","parse-names":false,"suffix":""},{"dropping-particle":"","family":"Wiser","given":"Susan K.","non-dropping-particle":"","parse-names":false,"suffix":""},{"dropping-particle":"","family":"Fortin","given":"Marie-Josée","non-dropping-particle":"","parse-names":false,"suffix":""},{"dropping-particle":"","family":"Condit","given":"Richard","non-dropping-particle":"","parse-names":false,"suffix":""},{"dropping-particle":"","family":"Hubbell","given":"Stephen","non-dropping-particle":"","parse-names":false,"suffix":""}],"container-title":"Ecological Monographs","id":"ITEM-1","issue":"2","issued":{"date-parts":[["2019"]]},"page":"1-20","title":"Trajectory analysis in community ecology","type":"article-journal","volume":"89"},"uris":["http://www.mendeley.com/documents/?uuid=f4ee2e6e-8630-4ff9-9dbc-eba9b2660a06"]},{"id":"ITEM-2","itemData":{"DOI":"10.1016/j.ecolmodel.2020.109400","ISSN":"03043800","abstract":"Ecological research focuses on the spatio-temporal patterns of ecosystems and communities. The recently proposed framework of Community Trajectory Analysis considers community dynamics as trajectories in a chosen space of community resemblance and utilizes geometrical properties of trajectories to compare and analyse temporal changes. Here, we extend the initial framework, which focused on consecutive trajectory segments, by considering additional metrics with respect to initial or baseline states. Addressing questions about community dynamics and more generally temporal and spatial ecological variability requires synthetic and efficient modes of representation. Hence, we propose a set of innovative maps, charts and trajectory roses to represent trajectory properties and complement the panel of traditional modes of representation used in community ecology. We use four case studies to highlight the complementarity and the ability of the new metrics and innovative figures to illustrate ecological trajectories and to facilitate their interpretation. Finally, we encourage ecologists skilled in multivariate analysis to integrate CTA into their toolbox in order to quantitatively evaluate spatio-temporal changes.","author":[{"dropping-particle":"","family":"Sturbois","given":"A.","non-dropping-particle":"","parse-names":false,"suffix":""},{"dropping-particle":"","family":"Cáceres","given":"Miquel","non-dropping-particle":"De","parse-names":false,"suffix":""},{"dropping-particle":"","family":"Sánchez-Pinillos","given":"M.","non-dropping-particle":"","parse-names":false,"suffix":""},{"dropping-particle":"","family":"Schaal","given":"G.","non-dropping-particle":"","parse-names":false,"suffix":""},{"dropping-particle":"","family":"Gauthier","given":"O.","non-dropping-particle":"","parse-names":false,"suffix":""},{"dropping-particle":"Le","family":"Mao","given":"P.","non-dropping-particle":"","parse-names":false,"suffix":""},{"dropping-particle":"","family":"Ponsero","given":"A.","non-dropping-particle":"","parse-names":false,"suffix":""},{"dropping-particle":"","family":"Desroy","given":"N.","non-dropping-particle":"","parse-names":false,"suffix":""}],"container-title":"Ecological Modelling","id":"ITEM-2","issued":{"date-parts":[["2021"]]},"page":"109400","title":"Extending community trajectory analysis: New metrics and representation","type":"article-journal","volume":"440"},"uris":["http://www.mendeley.com/documents/?uuid=0f38de1b-1e94-408d-947f-ec7695db778d"]}],"mendeley":{"formattedCitation":"(De Cáceres et al. 2019; Sturbois et al. 2021)","plainTextFormattedCitation":"(De Cáceres et al. 2019; Sturbois et al. 2021)","previouslyFormattedCitation":"(De Cáceres et al. 2019; Sturbois et al. 2021)"},"properties":{"noteIndex":0},"schema":"https://github.com/citation-style-language/schema/raw/master/csl-citation.json"}</w:instrText>
      </w:r>
      <w:r>
        <w:rPr>
          <w:lang w:val="en-GB"/>
        </w:rPr>
        <w:fldChar w:fldCharType="separate"/>
      </w:r>
      <w:r w:rsidRPr="0081184E">
        <w:rPr>
          <w:noProof/>
          <w:lang w:val="en-GB"/>
        </w:rPr>
        <w:t>(De Cáceres et al. 2019; Sturbois et al. 2021)</w:t>
      </w:r>
      <w:r>
        <w:rPr>
          <w:lang w:val="en-GB"/>
        </w:rPr>
        <w:fldChar w:fldCharType="end"/>
      </w:r>
      <w:r>
        <w:rPr>
          <w:lang w:val="en-GB"/>
        </w:rPr>
        <w:t xml:space="preserve"> of the genetic diversity or community composition across more than two dates, represent two promising avenues of research.</w:t>
      </w:r>
    </w:p>
    <w:p w14:paraId="3868982F" w14:textId="77777777" w:rsidR="008D3B5A" w:rsidRDefault="008D3B5A" w:rsidP="004775A3">
      <w:pPr>
        <w:pStyle w:val="Heading4"/>
        <w:spacing w:line="480" w:lineRule="auto"/>
        <w:rPr>
          <w:lang w:val="en-CA"/>
        </w:rPr>
      </w:pPr>
      <w:bookmarkStart w:id="50" w:name="_Toc79591414"/>
      <w:bookmarkStart w:id="51" w:name="_Toc81356489"/>
      <w:r w:rsidRPr="00BD14BD">
        <w:rPr>
          <w:lang w:val="en-CA"/>
        </w:rPr>
        <w:t xml:space="preserve">4.7. </w:t>
      </w:r>
      <w:r>
        <w:rPr>
          <w:lang w:val="en-CA"/>
        </w:rPr>
        <w:t>C</w:t>
      </w:r>
      <w:r w:rsidRPr="00BD14BD">
        <w:rPr>
          <w:lang w:val="en-CA"/>
        </w:rPr>
        <w:t>onclusions</w:t>
      </w:r>
      <w:bookmarkEnd w:id="50"/>
      <w:bookmarkEnd w:id="51"/>
    </w:p>
    <w:p w14:paraId="1FA30FCE" w14:textId="77777777" w:rsidR="008D3B5A" w:rsidRDefault="008D3B5A" w:rsidP="004775A3">
      <w:pPr>
        <w:spacing w:line="480" w:lineRule="auto"/>
        <w:rPr>
          <w:lang w:val="en-CA"/>
        </w:rPr>
      </w:pPr>
      <w:r w:rsidRPr="00BD14BD">
        <w:rPr>
          <w:lang w:val="en-CA"/>
        </w:rPr>
        <w:lastRenderedPageBreak/>
        <w:t>At the crux of many conservation biology questions, identifying changes in genetic diversity, beyond the expected changes due to background</w:t>
      </w:r>
      <w:r>
        <w:rPr>
          <w:lang w:val="en-CA"/>
        </w:rPr>
        <w:t xml:space="preserve"> processes,</w:t>
      </w:r>
      <w:r w:rsidRPr="00BD14BD">
        <w:rPr>
          <w:lang w:val="en-CA"/>
        </w:rPr>
        <w:t xml:space="preserve"> can help researchers identify locations or populations that have experienced important past demographic events. These events could be detrimental (e.g., loss of diversity or maladaptation) or beneficial (e.g.,</w:t>
      </w:r>
      <w:r w:rsidRPr="00BD14BD">
        <w:rPr>
          <w:i/>
          <w:lang w:val="en-CA"/>
        </w:rPr>
        <w:t xml:space="preserve"> </w:t>
      </w:r>
      <w:r w:rsidRPr="00BD14BD">
        <w:rPr>
          <w:lang w:val="en-CA"/>
        </w:rPr>
        <w:t>higher effective population size or genetic rescue), and are often relevant for conservation efforts. Such locations and populations could then be prioritized for increased monitoring and further investigation into the origin of these changes. As shown in our application of TGI to empirical data from the endangered Northern tidewater goby, our method provides a framework for detecting and pinpointing exceptional temporal genetic changes. Our approach to detect temporal genetic differentiation does not require extensive genomic information and can therefore be used to explore the temporal dynamics of genetic diversity changes using relatively small genetic datasets (e.g., hundreds of SNPs). We believe that the TGI approach is a promising tool for the spatiotemporal analysis of wild, non-model organisms for which extensive genomic resources are yet to be developed.</w:t>
      </w:r>
    </w:p>
    <w:p w14:paraId="4DA20550" w14:textId="77777777" w:rsidR="008D3B5A" w:rsidRPr="00A64F84" w:rsidRDefault="008D3B5A" w:rsidP="004775A3">
      <w:pPr>
        <w:spacing w:line="480" w:lineRule="auto"/>
        <w:rPr>
          <w:lang w:val="en-CA"/>
        </w:rPr>
      </w:pPr>
      <w:r>
        <w:rPr>
          <w:lang w:val="en-CA"/>
        </w:rPr>
        <w:t xml:space="preserve">TGI and its future developments will, therefore, be of primary value to better manage the landscape in the context of global change and stronger, and more frequent, perturbations. Monitoring the genetic health of already at-risk populations </w:t>
      </w:r>
      <w:r>
        <w:rPr>
          <w:lang w:val="en-CA"/>
        </w:rPr>
        <w:fldChar w:fldCharType="begin" w:fldLock="1"/>
      </w:r>
      <w:r>
        <w:rPr>
          <w:lang w:val="en-CA"/>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rosalia)","type":"article-journal","volume":"18"},"uris":["http://www.mendeley.com/documents/?uuid=7d71e0a9-3eb2-45a3-aeeb-a97eab5c25bd"]},{"id":"ITEM-2","itemData":{"DOI":"10.1111/eva.12617","ISSN":"17524571","abstract":"©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change","type":"article-journal","volume":"11"},"uris":["http://www.mendeley.com/documents/?uuid=b334cca4-d631-4a5f-9c00-24ad276874bb"]},{"id":"ITEM-3","itemData":{"DOI":"10.1111/mec.13424","ISSN":"1365294X","abstract":"Extinction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w:instrText>
      </w:r>
      <w:r w:rsidRPr="00A85A4F">
        <w:rPr>
          <w:lang w:val="en-GB"/>
        </w:rPr>
        <w:instrText>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Ecology","id":"ITEM-3","issue":"22","issued":{"date-parts":[["2015"]]},"page":"5544-5560","title":"Temporal genetic analysis of the endangered tidewater goby: Extinction-colonization dynamics or drift in isolation?","type":"article-journal","volume":"24"},"uris":["http://www.mendeley.com/documents/?uuid=94170e91-385b-4397-a362-e735e6da69fe"]}],"mendeley":{"formattedCitation":"(Draheim et al. 2018; Kinziger et al. 2015; Moraes et al. 2017)","plainTextFormattedCitation":"(Draheim et al. 2018; Kinziger et al. 2015; Moraes et al. 2017)","previouslyFormattedCitation":"(Draheim et al. 2018; Kinziger et al. 2015; Moraes et al. 2017)"},"properties":{"noteIndex":0},"schema":"https://github.com/citation-style-language/schema/raw/master/csl-citation.json"}</w:instrText>
      </w:r>
      <w:r>
        <w:rPr>
          <w:lang w:val="en-CA"/>
        </w:rPr>
        <w:fldChar w:fldCharType="separate"/>
      </w:r>
      <w:r w:rsidRPr="00A85A4F">
        <w:rPr>
          <w:noProof/>
          <w:lang w:val="en-GB"/>
        </w:rPr>
        <w:t>(Draheim et al. 2018; Kinziger et al. 2015; Moraes et al. 2017)</w:t>
      </w:r>
      <w:r>
        <w:rPr>
          <w:lang w:val="en-CA"/>
        </w:rPr>
        <w:fldChar w:fldCharType="end"/>
      </w:r>
      <w:r>
        <w:rPr>
          <w:lang w:val="en-CA"/>
        </w:rPr>
        <w:t xml:space="preserve"> is but one of the uses TGI can offer</w:t>
      </w:r>
      <w:r w:rsidRPr="00A85A4F">
        <w:rPr>
          <w:lang w:val="en-GB"/>
        </w:rPr>
        <w:t xml:space="preserve">. </w:t>
      </w:r>
      <w:r w:rsidRPr="00196792">
        <w:rPr>
          <w:lang w:val="en-GB"/>
        </w:rPr>
        <w:t xml:space="preserve">Climate change </w:t>
      </w:r>
      <w:r w:rsidRPr="00DA49F6">
        <w:rPr>
          <w:lang w:val="en-GB"/>
        </w:rPr>
        <w:t xml:space="preserve">will displace populations which are differently adapted to warmer and drier environments </w:t>
      </w:r>
      <w:r>
        <w:fldChar w:fldCharType="begin" w:fldLock="1"/>
      </w:r>
      <w:r w:rsidRPr="00196792">
        <w:rPr>
          <w:lang w:val="en-GB"/>
        </w:rPr>
        <w:instrText>ADDIN CSL_CITATION {"citationItems":[{"id":"ITEM-1","itemData":{"author":[{"dropping-particle":"","family":"Masson-Delmotte","given":"V.","non-dropping-particle":"","parse-names":false,"suffix":""},{"dropping-particle":"","family":"Zhai","given":"P.","non-dropping-particle":"","parse-names":false,"suffix":""},{"dropping-particle":"","family":"Pirani","given":"A.","non-dropping-particle":"","parse-names":false,"suffix":""},{"dropping-particle":"","family":"Connors","given":"L. S.","non-dropping-particle":"","parse-names":false,"suffix":""},{"dropping-particle":"","family":"Péan","given":"C.","non-dropping-particle":"","parse-names":false,"suffix":""},{"dropping-particle":"","family":"Berger","given":"S.","non-dropping-particle":"","parse-names":false,"suffix":""},{"dropping-particle":"","family":"Caud","given":"N.","non-dropping-particle":"","parse-names":false,"suffix":""},{"dropping-particle":"","family":"Chen","given":"Y.","non-dropping-particle":"","parse-names":false,"suffix":""},{"dropping-particle":"","family":"Goldfarb","given":"L.","non-dropping-particle":"","parse-names":false,"suffix":""},{"dropping-particle":"","family":"Gomis","given":"M. I.","non-dropping-particle":"","parse-names":false,"suffix":""},{"dropping-particle":"","family":"Huang","given":"M.","non-dropping-particle":"","parse-names":false,"suffix":""},{"dropping-particle":"","family":"Leitzell","giv</w:instrText>
      </w:r>
      <w:r>
        <w:instrText>en":"K.","non-dropping-particle":"","parse-names":false,"suffix":""},</w:instrText>
      </w:r>
      <w:r w:rsidRPr="00E871E2">
        <w:rPr>
          <w:lang w:val="en-GB"/>
        </w:rPr>
        <w:instrText>{"dropping-particle"</w:instrText>
      </w:r>
      <w:r w:rsidRPr="00DA49F6">
        <w:rPr>
          <w:lang w:val="en-GB"/>
        </w:rPr>
        <w:instrText>:"","family":"Lonnoy","given":"E.","non-dropping-particle":"","parse-names":false,"suffix":""},{"dropping-particle":"","family":"Matthews","given":"J. B. R.","non-dropping-particle":"","parse-names":false,"suffix":""},{"dropping-particle":"","family":"Maycock","given":"T. K.","non-dropping-particle":"","parse-names":false,"suffix":""},{"dropping-particle":"","family":"Waterfield","given":"T.","non-dropping-particle":"","parse-names":false,"suffix":""},{"dropping-particle":"","family":"Yelekçi","given":"O.","non-dropping-particle":"","parse-names":false,"suffix":""},{"dropping-particle":"","family":"Yu","given":"R.","non-dropping-particle":"","parse-names":false,"suffix":""},{"dropping-particle":"","family":"Zhou","given":"B.","non-dropping-particle":"","parse-names":false,"suffix":""}],"id":"ITEM-1","issued":{"date-parts":[["2021"]]},"publisher-place":"Cambridge University Press","title":"Climate Change 2021: The Physical Science Basis. Contribution of Working Group I to the Sixth Assessment Report of the Intergovernmental Panel on Climate Change.","type":"report"},"uris":["http://www.mendeley.com/documents/?uuid=988f201b-acb5-4d51-9c22-dd61f593a0d0"]}],"mendeley":{"formattedCitation":"(Masson-Delmotte et al. 2021)","plainTextFormattedCitation":"(Masson-Delmotte et al. 2021)","previouslyFormattedCitation":"(Masson-Delmotte et al. 2021)"},"properties":{"noteIndex":0},"schema":"https://github.com/citation-style-language/schema/raw/master/csl-citation.json"}</w:instrText>
      </w:r>
      <w:r>
        <w:fldChar w:fldCharType="separate"/>
      </w:r>
      <w:r w:rsidRPr="00DA49F6">
        <w:rPr>
          <w:noProof/>
          <w:lang w:val="en-GB"/>
        </w:rPr>
        <w:t>(Masson-Delmotte et al. 2021)</w:t>
      </w:r>
      <w:r>
        <w:fldChar w:fldCharType="end"/>
      </w:r>
      <w:r w:rsidRPr="00196792">
        <w:rPr>
          <w:lang w:val="en-GB"/>
        </w:rPr>
        <w:t xml:space="preserve"> </w:t>
      </w:r>
      <w:r w:rsidRPr="00DA49F6">
        <w:rPr>
          <w:lang w:val="en-GB"/>
        </w:rPr>
        <w:t xml:space="preserve">and being able to detect this genetic change is of primary value to better manage </w:t>
      </w:r>
      <w:r>
        <w:rPr>
          <w:lang w:val="en-GB"/>
        </w:rPr>
        <w:t>species affected by climate change</w:t>
      </w:r>
      <w:r w:rsidRPr="00DA49F6">
        <w:rPr>
          <w:lang w:val="en-GB"/>
        </w:rPr>
        <w:t xml:space="preserve">. </w:t>
      </w:r>
      <w:r>
        <w:rPr>
          <w:lang w:val="en-CA"/>
        </w:rPr>
        <w:t>Given that</w:t>
      </w:r>
      <w:r w:rsidRPr="000206D4">
        <w:rPr>
          <w:lang w:val="en-CA"/>
        </w:rPr>
        <w:t xml:space="preserve"> the relative importance of </w:t>
      </w:r>
      <w:r>
        <w:rPr>
          <w:lang w:val="en-CA"/>
        </w:rPr>
        <w:t xml:space="preserve">tolerance, </w:t>
      </w:r>
      <w:r w:rsidRPr="000206D4">
        <w:rPr>
          <w:lang w:val="en-CA"/>
        </w:rPr>
        <w:t>migration,</w:t>
      </w:r>
      <w:r>
        <w:rPr>
          <w:lang w:val="en-CA"/>
        </w:rPr>
        <w:t xml:space="preserve"> and</w:t>
      </w:r>
      <w:r w:rsidRPr="000206D4">
        <w:rPr>
          <w:lang w:val="en-CA"/>
        </w:rPr>
        <w:t xml:space="preserve"> adaptation, </w:t>
      </w:r>
      <w:r>
        <w:rPr>
          <w:lang w:val="en-CA"/>
        </w:rPr>
        <w:t xml:space="preserve">may vary in different parts of a landscape under climate change </w:t>
      </w:r>
      <w:r>
        <w:rPr>
          <w:lang w:val="en-CA"/>
        </w:rPr>
        <w:fldChar w:fldCharType="begin" w:fldLock="1"/>
      </w:r>
      <w:r>
        <w:rPr>
          <w:lang w:val="en-CA"/>
        </w:rPr>
        <w:instrText>ADDIN CSL_CITATION {"citationItems":[{"id":"ITEM-1","itemData":{"DOI":"10.1111/j.1365-294X.2010.04726.x","ISSN":"09621083","PMID":"20723054","abstract":"Rapid climate change jeopardizes tree populations by shifting current climate zones. To avoid extinction, tree populations must tolerate, adapt, or migrate. Here we investigate geographic patterns of genetic variation in valley oak, Quercus lobata Née, to assess how underlying genetic structure of populations might influence this species' ability to survive climate change. First, to understand how genetic lineages shape spatial genetic patterns, we examine historical patterns of colonization. Second, we examine the correlation between multivariate nuclear genetic variation and climatic variation. Third, to illustrate how geographic genetic variation could interact with regional patterns of 21st Century climate change, we produce region-specific bioclimatic distributions of valley oak using Maximum Entropy (MAXENT) models based on downscaled historical (1971-2000) and future (2070-2100) climate grids. Future climatologies are based on a moderate-high (A2) carbon emission scenario and two different global climate models. Chloroplast markers indicate historical range-wide connectivity via colonization, especially in the north. Multivariate nuclear genotypes show a strong association with climate variation that provides opportunity for local adaptation to the conditions within their climatic envelope. Comparison of regional current and projected patterns of climate suitability indicates that valley oaks grow in distinctly different climate conditions in different parts of their range. Our models predict widely different regional outcomes from local displacement of a few kilometres to hundreds of kilometres. We conclude that the relative importance of migration, adaptation, and tolerance are likely to vary widely for populations among regions, and that late 21st Century conditions could lead to regional extinctions. © 2010 Blackwell Publishing Ltd.","author":[{"dropping-particle":"","family":"Sork","given":"Victoria L.","non-dropping-particle":"","parse-names":false,"suffix":""},{"dropping-particle":"","family":"Davis","given":"Frank W.","non-dropping-particle":"","parse-names":false,"suffix":""},{"dropping-particle":"","family":"Westfall","given":"Robert","non-dropping-particle":"","parse-names":false,"suffix":""},{"dropping-particle":"","family":"Flint","given":"Alan","non-dropping-particle":"","parse-names":false,"suffix":""},{"dropping-particle":"","family":"Ikegami","given":"Makihiko","non-dropping-particle":"","parse-names":false,"suffix":""},{"dropping-particle":"","family":"Wang","given":"Hongfang","non-dropping-particle":"","parse-names":false,"suffix":""},{"dropping-particle":"","family":"Grivet","given":"Delphine","non-dropping-particle":"","parse-names":false,"suffix":""}],"container-title":"Molecular Ecology","id":"ITEM-1","issue":"17","issued":{"date-parts":[["2010"]]},"page":"3806-3823","title":"Gene movement and genetic association with regional climate gradients in California valley oak (Quercus lobata Née) in the face of climate change","type":"article-journal","volume":"19"},"uris":["http://www.mendeley.com/documents/?uuid=8f514b58-d7ab-4601-801c-57d84d1edb09"]}],"mendeley":{"formattedCitation":"(Sork et al. 2010)","plainTextFormattedCitation":"(Sork et al. 2010)","previouslyFormattedCitation":"(Sork et al. 2010)"},"properties":{"noteIndex":0},"schema":"https://github.com/citation-style-language/schema/raw/master/csl-citation.json"}</w:instrText>
      </w:r>
      <w:r>
        <w:rPr>
          <w:lang w:val="en-CA"/>
        </w:rPr>
        <w:fldChar w:fldCharType="separate"/>
      </w:r>
      <w:r w:rsidRPr="000206D4">
        <w:rPr>
          <w:noProof/>
          <w:lang w:val="en-CA"/>
        </w:rPr>
        <w:t>(Sork et al. 2010)</w:t>
      </w:r>
      <w:r>
        <w:rPr>
          <w:lang w:val="en-CA"/>
        </w:rPr>
        <w:fldChar w:fldCharType="end"/>
      </w:r>
      <w:r>
        <w:rPr>
          <w:lang w:val="en-CA"/>
        </w:rPr>
        <w:t>,</w:t>
      </w:r>
      <w:r w:rsidRPr="000206D4">
        <w:rPr>
          <w:lang w:val="en-CA"/>
        </w:rPr>
        <w:t xml:space="preserve"> </w:t>
      </w:r>
      <w:r>
        <w:rPr>
          <w:lang w:val="en-CA"/>
        </w:rPr>
        <w:t xml:space="preserve">TGI could be used as a sentinel tool to assess whether populations have changed substantially more than the general response of this species to </w:t>
      </w:r>
      <w:r>
        <w:rPr>
          <w:lang w:val="en-CA"/>
        </w:rPr>
        <w:lastRenderedPageBreak/>
        <w:t xml:space="preserve">climate change in that landscape. TGI could also be used to detect a new contact between two previously distinct genetic clusters in the landscape, which could alert managers that a shift is happening </w:t>
      </w:r>
      <w:r>
        <w:rPr>
          <w:lang w:val="en-CA"/>
        </w:rPr>
        <w:fldChar w:fldCharType="begin" w:fldLock="1"/>
      </w:r>
      <w:r>
        <w:rPr>
          <w:lang w:val="en-CA"/>
        </w:rPr>
        <w:instrText>ADDIN CSL_CITATION {"citationItems":[{"id":"ITEM-1","itemData":{"DOI":"10.1111/j.1365-294X.2012.05541.x","ISSN":"09621083","PMID":"22512785","abstract":"Species range shifts in response to climate and land use change are commonly forecasted with species distribution models based on species occurrence or abundance data. Although appealing, these models ignore the genetic structure of species, and the fact that different populations might respond in different ways because of adaptation to their environment. Here, we introduced ancestry distribution models, that is, statistical models of the spatial distribution of ancestry proportions, for forecasting intra-specific changes based on genetic admixture instead of species occurrence data. Using multi-locus genotypes and extensive geographic coverage of distribution data across the European Alps, we applied this approach to 20 alpine plant species considering a global increase in temperature from 0.25 to 4 °C. We forecasted the magnitudes of displacement of contact zones between plant populations potentially adapted to warmer environments and other populations. While a global trend of movement in a north-east direction was predicted, the magnitude of displacement was species-specific. For a temperature increase of 2 °C, contact zones were predicted to move by 92 km on average (minimum of 5 km, maximum of 212 km) and by 188 km for an increase of 4 °C (minimum of 11 km, maximum of 393 km). Intra-specific turnover - measuring the extent of change in global population genetic structure - was generally found to be moderate for 2 °C of temperature warming. For 4 °C of warming, however, the models indicated substantial intra-specific turnover for ten species. These results illustrate that, in spite of unavoidable simplifications, ancestry distribution models open new perspectives to forecast population genetic changes within species and complement more traditional distribution-based approaches. © 2012 Blackwell Publishing Ltd.","author":[{"dropping-particle":"","family":"Jay","given":"Flora","non-dropping-particle":"","parse-names":false,"suffix":""},{"dropping-particle":"","family":"Manel","given":"Stéphanie","non-dropping-particle":"","parse-names":false,"suffix":""},{"dropping-particle":"","family":"Alvarez","given":"Nadir","non-dropping-particle":"","parse-names":false,"suffix":""},{"dropping-particle":"","family":"Durand","given":"Eric Y.","non-dropping-particle":"","parse-names":false,"suffix":""},{"dropping-particle":"","family":"Thuiller","given":"Wilfried","non-dropping-particle":"","parse-names":false,"suffix":""},{"dropping-particle":"","family":"Holderegger","given":"Rolf","non-dropping-particle":"","parse-names":false,"suffix":""},{"dropping-particle":"","family":"Taberlet","given":"Pierre","non-dropping-particle":"","parse-names":false,"suffix":""},{"dropping-particle":"","family":"François","given":"Olivier","non-dropping-particle":"","parse-names":false,"suffix":""}],"container-title":"Molecular Ecology","id":"ITEM-1","issue":"10","issued":{"date-parts":[["2012"]]},"page":"2354-2368","title":"Forecasting changes in population genetic structure of alpine plants in response to global warming","type":"article-journal","volume":"21"},"uris":["http://www.mendeley.com/documents/?uuid=27f9796c-cf10-478f-afa0-174222165279"]},{"id":"ITEM-2","itemData":{"DOI":"10.1038/s41437-018-0098-6","ISSN":"13652540","PMID":"29904170","abstract":"The genetic structure of 13 populations of the amphiatlantic sea urchin Arbacia lixula, as well as temporal genetic changes in three of these localities, were assessed using ten hypervariable microsatellite loci. This thermophilous sea urchin is an important engineer species triggering the formation of barren grounds through its grazing activity. Its abundance seems to be increasing in most parts of the Mediterranean, probably favoured by warming conditions. Significant genetic differentiation was found both spatially and temporally. The main break corresponded to the separation of western Atlantic populations from those in eastern Atlantic and the Mediterranean Sea. A less marked, but significant differentiation was also found between Macaronesia (eastern Atlantic) and the Mediterranean. In the latter area, a signal of differentiation between the transitional area (Alboran Sea) and the rest of the Mediterranean was detected. However, no genetic structure is found within the Mediterranean (excluding Alboran) across the Siculo-Tunisian Strait, resulting from either enough gene flow to homogenize distance areas or/and a recent evolutionary history marked by demographic expansion in this basin. Genetic temporal variation at the Alboran Sea is as important as spatial variation, suggesting that temporal changes in hydrological features can affect the genetic composition of the populations. A picture of genetic homogeneity in the Mediterranean emerges, implying that the potential expansion of this keystone species will not be limited by intraspecific genetic features and/or potential impact of postulated barriers to gene flow in the region.","author":[{"dropping-particle":"","family":"Pérez-Portela","given":"Rocío","non-dropping-particle":"","parse-names":false,"suffix":""},{"dropping-particle":"","family":"Wangensteen","given":"Owen S.","non-dropping-particle":"","parse-names":false,"suffix":""},{"dropping-particle":"","family":"Garcia-Cisneros","given":"Alex","non-dropping-particle":"","parse-names":false,"suffix":""},{"dropping-particle":"","family":"Valero-Jiménez","given":"Claudio","non-dropping-particle":"","parse-names":false,"suffix":""},{"dropping-particle":"","family":"Palacín","given":"Cruz","non-dropping-particle":"","parse-names":false,"suffix":""},{"dropping-particle":"","family":"Turon","given":"Xavier","non-dropping-particle":"","parse-names":false,"suffix":""}],"container-title":"Heredity.","id":"ITEM-2","issue":"2","issued":{"date-parts":[["2019"]]},"page":"244-259","publisher":"Springer US","title":"Spatio-temporal patterns of genetic variation in Arbacia lixula, a thermophilous sea urchin in expansion in the Mediterranean","type":"article-journal","volume":"122"},"uris":["http://www.mendeley.com/documents/?uuid=e466e984-9ca6-4416-ac9e-95028105432a"]}],"mendeley":{"formattedCitation":"(Jay et al. 2012; Pérez-Portela et al. 2019)","plainTextFormattedCitation":"(Jay et al. 2012; Pérez-Portela et al. 2019)","previouslyFormattedCitation":"(Jay et al. 2012; Pérez-Portela et al. 2019)"},"properties":{"noteIndex":0},"schema":"https://github.com/citation-style-language/schema/raw/master/csl-citation.json"}</w:instrText>
      </w:r>
      <w:r>
        <w:rPr>
          <w:lang w:val="en-CA"/>
        </w:rPr>
        <w:fldChar w:fldCharType="separate"/>
      </w:r>
      <w:r w:rsidRPr="00DE5AC1">
        <w:rPr>
          <w:noProof/>
          <w:lang w:val="en-CA"/>
        </w:rPr>
        <w:t>(Jay et al. 2012; Pérez-Portela et al. 2019)</w:t>
      </w:r>
      <w:r>
        <w:rPr>
          <w:lang w:val="en-CA"/>
        </w:rPr>
        <w:fldChar w:fldCharType="end"/>
      </w:r>
      <w:r>
        <w:rPr>
          <w:lang w:val="en-CA"/>
        </w:rPr>
        <w:t xml:space="preserve">. TGI could also be used to study the dynamics and the synchrony of outbreaks </w:t>
      </w:r>
      <w:r>
        <w:rPr>
          <w:lang w:val="en-CA"/>
        </w:rPr>
        <w:fldChar w:fldCharType="begin" w:fldLock="1"/>
      </w:r>
      <w:r>
        <w:rPr>
          <w:lang w:val="en-CA"/>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Applications","id":"ITEM-1","issue":"10","issued":{"date-parts":[["2019"]]},"page":"1931-1945","title":"Temporal variation in spatial genetic structure during population outbreaks: Distinguishing among different potential drivers of spatial synchrony","type":"article-journal","volume":"12"},"uris":["http://www.mendeley.com/documents/?uuid=8e6e6a3b-0d15-4092-888d-62f1f0ed6f84"]}],"mendeley":{"formattedCitation":"(Larroque et al. 2019)","plainTextFormattedCitation":"(Larroque et al. 2019)","previouslyFormattedCitation":"(Larroque et al. 2019)"},"properties":{"noteIndex":0},"schema":"https://github.com/citation-style-language/schema/raw/master/csl-citation.json"}</w:instrText>
      </w:r>
      <w:r>
        <w:rPr>
          <w:lang w:val="en-CA"/>
        </w:rPr>
        <w:fldChar w:fldCharType="separate"/>
      </w:r>
      <w:r w:rsidRPr="001E4ACA">
        <w:rPr>
          <w:noProof/>
          <w:lang w:val="en-CA"/>
        </w:rPr>
        <w:t>(Larroque et al. 2019)</w:t>
      </w:r>
      <w:r>
        <w:rPr>
          <w:lang w:val="en-CA"/>
        </w:rPr>
        <w:fldChar w:fldCharType="end"/>
      </w:r>
      <w:r>
        <w:rPr>
          <w:lang w:val="en-CA"/>
        </w:rPr>
        <w:t xml:space="preserve">, by, for example, detecting a large migration event from a previously isolated genetic cluster, which may confirm the high connectivity synonymous with serious outbreaks. Biological invasions may be slowed, or fail, because of genetic factors such as </w:t>
      </w:r>
      <w:r w:rsidRPr="006F2052">
        <w:rPr>
          <w:lang w:val="en-CA"/>
        </w:rPr>
        <w:t xml:space="preserve">successive reduction of genetic diversity </w:t>
      </w:r>
      <w:r>
        <w:rPr>
          <w:lang w:val="en-CA"/>
        </w:rPr>
        <w:t xml:space="preserve">following </w:t>
      </w:r>
      <w:r w:rsidRPr="006F2052">
        <w:rPr>
          <w:lang w:val="en-CA"/>
        </w:rPr>
        <w:t>introduction</w:t>
      </w:r>
      <w:r>
        <w:rPr>
          <w:lang w:val="en-CA"/>
        </w:rPr>
        <w:t xml:space="preserve">, or the spatial analog of genetic drift at </w:t>
      </w:r>
      <w:r w:rsidRPr="006F2052">
        <w:rPr>
          <w:lang w:val="en-CA"/>
        </w:rPr>
        <w:t>the leading edges of the expanding range</w:t>
      </w:r>
      <w:r>
        <w:rPr>
          <w:lang w:val="en-CA"/>
        </w:rPr>
        <w:t xml:space="preserve"> </w:t>
      </w:r>
      <w:r>
        <w:rPr>
          <w:lang w:val="en-CA"/>
        </w:rPr>
        <w:fldChar w:fldCharType="begin" w:fldLock="1"/>
      </w:r>
      <w:r>
        <w:rPr>
          <w:lang w:val="en-CA"/>
        </w:rPr>
        <w:instrText>ADDIN CSL_CITATION {"citationItems":[{"id":"ITEM-1","itemData":{"DOI":"10.1093/genetics/154.3.1309","ISSN":"00166731","PMID":"10757772","abstract":"Tree species are striking for their high within-population diversity and low among-population differentiation for nuclear genes. In contrast, annual plants show much more differentiation for nuclear genes but much less diversity than trees. The usual explanation for this difference is that pollen flow, and therefore gene flow, is much higher for trees. This explanation is problematic because it relies on equilibrium hypotheses. Because trees have very recently recolonized temperate areas, they have experienced many foundation events, which usually reduce within-population diversity and increase differentiation. Only extremely high levels of gene flow could counterbalance these successive founder effects. We develop a model to study tile impact of life cycle of forest trees, in particular of the length of their juvenile phase, on genetic diversity and differentiation during the glacial period and the following colonization period. We show that both a reasonably high level of pollen flow and the life-cycle characteristics of trees are needed to explain the observed structure of genetic diversity. We also show that gene flow and life cycle both have an impact on maternally inherited cytoplasmic genes, which are characterized both in trees and annual species by much less diversity and much more differentiation than nuclear genes.","author":[{"dropping-particle":"","family":"Austerlitz","given":"Frédéric","non-dropping-particle":"","parse-names":false,"suffix":""},{"dropping-particle":"","family":"Mariette","given":"Stéphanie","non-dropping-particle":"","parse-names":false,"suffix":""},{"dropping-particle":"","family":"Machon","given":"Nathalie","non-dropping-particle":"","parse-names":false,"suffix":""},{"dropping-particle":"","family":"Gouyon","given":"Pierre Henri","non-dropping-particle":"","parse-names":false,"suffix":""},{"dropping-particle":"","family":"Godelle","given":"Bernard","non-dropping-particle":"","parse-names":false,"suffix":""}],"container-title":"Genetics","id":"ITEM-1","issue":"3","issued":{"date-parts":[["2000"]]},"page":"1309-1321","title":"Effects of colonization processes on genetic diversity: Differences between annual plants and tree species","type":"article-journal","volume":"154"},"uris":["http://www.mendeley.com/documents/?uuid=b0effa74-5ebd-4cce-a485-d96d295362e0"]},{"id":"ITEM-2","itemData":{"DOI":"10.1093/jhered/est085","ISSN":"00221503","PMID":"24336863","abstract":"Introduced species offer an opportunity to study the ecological process of range expansions. Recently, 3 mechanisms have been identified that may resolve the genetic paradox (the seemingly unlikely success of introduced species given the expected reduction in genetic diversity through bottlenecks or founder effects): multiple introductions, high propagule pressure, and epigenetics. These mechanisms are probably also important in range expansions (either natural or anthropogenic), yet this possibility remains untested in vertebrates. We used microsatellite variation (7 loci) in house sparrows (Passer domesticus), an introduced species that has been spreading across Kenya for ~60 years, to determine if patterns of variation could explain how this human commensal overcame the genetic paradox and expresses such considerable phenotypic differentiation across this new range. We note that in some cases, polygenic traits and epistasis among genes, for example, may not have negative effects on populations. House sparrows arrived in Kenya by a single introduction event (to Mombasa, ~1950) and have lower genetic diversity than native European and introduced North American populations. We used Bayesian clustering of individuals (n = 233) to detect that at least 2 types of range expansion occurred in Kenya: one with genetic admixture and one with little to no admixture. We also found that genetic diversity increased toward a range edge, and the range expansion was consistent with long-distance dispersal. Based on these data, we expect that the Kenyan range expansion was anthropogenically influenced, as the expansions of other introduced human commensals may also be. © 2013 The American Genetic Association 2013. All rights reserved.","author":[{"dropping-particle":"","family":"Schrey","given":"Aaron W.","non-dropping-particle":"","parse-names":false,"suffix":""},{"dropping-particle":"","family":"Liebl","given":"Andrea L.","non-dropping-particle":"","parse-names":false,"suffix":""},{"dropping-particle":"","family":"Richards","given":"Christina L.","non-dropping-particle":"","parse-names":false,"suffix":""},{"dropping-particle":"","family":"Martin","given":"Lynn B.","non-dropping-particle":"","parse-names":false,"suffix":""}],"container-title":"Journal of Heredity","id":"ITEM-2","issue":"1","issued":{"date-parts":[["2014"]]},"page":"60-69","title":"Range expansion of house sparrows (Passer domesticus) in kenya: Evidence of genetic admixture and human-mediated dispersal","type":"article-journal","volume":"105"},"uris":["http://www.mendeley.com/documents/?uuid=696916db-97e0-4720-bdf0-522fa189ae2c"]},{"id":"ITEM-3","itemData":{"DOI":"10.1534/genetics.112.139022","ISBN":"0016-6731","ISSN":"00166731","PMID":"22367031","abstract":"Range expansions cause a series of founder events. We show that, in a one-dimensional habitat, these founder events are the spatial analog of genetic drift in a randomly mating population. The spatial series of allele frequencies created by successive founder events is equivalent to the time series of allele frequencies in a population of effective size ke, the effective number of founders. We derive an expression for ke in a discrete-population model that allows for local population growth and migration among established populations. If there is selection, the net effect is determined approximately by the product of the selection coefficients and the number of generations between successive founding events. We use the model of a single population to compute analytically several quantities for an allele present in the source population: (i) the probability that it survives the series of colonization events, (ii) the probability that it reaches a specified threshold frequency in the last population, and (iii) the mean and variance of the frequencies in each population. We show that the analytic theory provides a good approximation to simulation results. A consequence of our approximation is that the average heterozygosity of neutral alleles decreases by a factor of 1-1/(2ke) in each new population. Therefore, the population genetic consequences of surfing can be predicted approximately by the effective number of founders and the effective selection coefficients, even in the presence of migration among populations. We also show that our analytic results are applicable to a model of range expansion in a continuously distributed population.","author":[{"dropping-particle":"","family":"Slatkin","given":"Montgomery","non-dropping-particle":"","parse-names":false,"suffix":""},{"dropping-particle":"","family":"Excoffier","given":"Laurent","non-dropping-particle":"","parse-names":false,"suffix":""}],"container-title":"Genetics","id":"ITEM-3","issue":"1","issued":{"date-parts":[["2012"]]},"page":"171-181","title":"Serial founder effects during range expansion: A spatial analog of genetic drift","type":"article-journal","volume":"191"},"uris":["http://www.mendeley.com/documents/?uuid=c895c0ac-2ca4-4b64-8c6f-0fd71efbcf40"]}],"mendeley":{"formattedCitation":"(Austerlitz et al. 2000; Schrey et al. 2014; Slatkin &amp; Excoffier 2012)","plainTextFormattedCitation":"(Austerlitz et al. 2000; Schrey et al. 2014; Slatkin &amp; Excoffier 2012)","previouslyFormattedCitation":"(Austerlitz et al. 2000; Schrey et al. 2014; Slatkin &amp; Excoffier 2012)"},"properties":{"noteIndex":0},"schema":"https://github.com/citation-style-language/schema/raw/master/csl-citation.json"}</w:instrText>
      </w:r>
      <w:r>
        <w:rPr>
          <w:lang w:val="en-CA"/>
        </w:rPr>
        <w:fldChar w:fldCharType="separate"/>
      </w:r>
      <w:r w:rsidRPr="005F77F3">
        <w:rPr>
          <w:noProof/>
          <w:lang w:val="en-GB"/>
        </w:rPr>
        <w:t>(Austerlitz et al. 2000; Schrey et al. 2014; Slatkin &amp; Excoffier 2012)</w:t>
      </w:r>
      <w:r>
        <w:rPr>
          <w:lang w:val="en-CA"/>
        </w:rPr>
        <w:fldChar w:fldCharType="end"/>
      </w:r>
      <w:r w:rsidRPr="005F77F3">
        <w:rPr>
          <w:lang w:val="en-GB"/>
        </w:rPr>
        <w:t xml:space="preserve">. </w:t>
      </w:r>
      <w:r w:rsidRPr="007D1934">
        <w:rPr>
          <w:lang w:val="en-GB"/>
        </w:rPr>
        <w:t xml:space="preserve">A </w:t>
      </w:r>
      <w:r>
        <w:rPr>
          <w:lang w:val="en-GB"/>
        </w:rPr>
        <w:t xml:space="preserve">local </w:t>
      </w:r>
      <w:r w:rsidRPr="007D1934">
        <w:rPr>
          <w:lang w:val="en-GB"/>
        </w:rPr>
        <w:t>gain or a loss of genetic diversity</w:t>
      </w:r>
      <w:r>
        <w:rPr>
          <w:lang w:val="en-GB"/>
        </w:rPr>
        <w:t>, as</w:t>
      </w:r>
      <w:r w:rsidRPr="007D1934">
        <w:rPr>
          <w:lang w:val="en-GB"/>
        </w:rPr>
        <w:t xml:space="preserve"> identif</w:t>
      </w:r>
      <w:r>
        <w:rPr>
          <w:lang w:val="en-GB"/>
        </w:rPr>
        <w:t xml:space="preserve">ied by TGI, could predict the evolutionary potential of a population which may affect the further spread of that invasive species </w:t>
      </w:r>
      <w:r>
        <w:rPr>
          <w:lang w:val="en-GB"/>
        </w:rPr>
        <w:fldChar w:fldCharType="begin" w:fldLock="1"/>
      </w:r>
      <w:r>
        <w:rPr>
          <w:lang w:val="en-GB"/>
        </w:rPr>
        <w:instrText>ADDIN CSL_CITATION {"citationItems":[{"id":"ITEM-1","itemData":{"DOI":"10.1007/s10526-011-9386-2","ISSN":"13866141","abstract":"There is growing realisation that integrating genetics and ecology is critical in the context of biological invasions, since the two are explicitly linked. So far, the focus of ecological genetics of invasive alien species (IAS) has been on determining the sources and routes of invasions, and the genetic make-up of founding populations, which is critical for defining and testing ecological and evolutionary hypotheses. However an ecological genetics approach can be extended to investigate questions about invasion success and impacts on native, recipient species. Here, we discuss recent progress in the field, provide overviews of recent methodological advances, and highlight areas that we believe are of particular interest for future research. First, we discuss the main insights from studies that have inferred source populations and invasion routes using molecular genetic data, with particular focus on the role of genetic diversity, adaptation and admixture in invasion success. Second, we consider how genetic tools can lead to a better understanding of patterns of dispersal, which is critical to predicting the spread of invasive species, and how studying invasions can shed light on the evolution of dispersal. Finally, we explore the potential for combining molecular genetic data and ecological network modelling to investigate community interactions such as those between predator and prey, and host and parasite. We conclude that invasions are excellent model systems for understanding the role of natural selection in shaping phenotypes and that an ecological genetics approach offers great potential for addressing fundamental questions in invasion biology.","author":[{"dropping-particle":"","family":"Lawson Handley","given":"L. J.","non-dropping-particle":"","parse-names":false,"suffix":""},{"dropping-particle":"","family":"Estoup","given":"A.","non-dropping-particle":"","parse-names":false,"suffix":""},{"dropping-particle":"","family":"Evans","given":"D. M.","non-dropping-particle":"","parse-names":false,"suffix":""},{"dropping-particle":"","family":"Thomas","given":"C. E.","non-dropping-particle":"","parse-names":false,"suffix":""},{"dropping-particle":"","family":"Lombaert","given":"E.","non-dropping-particle":"","parse-names":false,"suffix":""},{"dropping-particle":"","family":"Facon","given":"B.","non-dropping-particle":"","parse-names":false,"suffix":""},{"dropping-particle":"","family":"Aebi","given":"A.","non-dropping-particle":"","parse-names":false,"suffix":""},{"dropping-particle":"","family":"Roy","given":"H. E.","non-dropping-particle":"","parse-names":false,"suffix":""}],"container-title":"BioControl","id":"ITEM-1","issue":"4","issued":{"date-parts":[["2011"]]},"page":"409-428","title":"Ecological genetics of invasive alien species","type":"article-journal","volume":"56"},"uris":["http://www.mendeley.com/documents/?uuid=538cb0cd-15a2-45eb-9e42-672e28aa6797"]}],"mendeley":{"formattedCitation":"(Lawson Handley et al. 2011)","plainTextFormattedCitation":"(Lawson Handley et al. 2011)","previouslyFormattedCitation":"(Lawson Handley et al. 2011)"},"properties":{"noteIndex":0},"schema":"https://github.com/citation-style-language/schema/raw/master/csl-citation.json"}</w:instrText>
      </w:r>
      <w:r>
        <w:rPr>
          <w:lang w:val="en-GB"/>
        </w:rPr>
        <w:fldChar w:fldCharType="separate"/>
      </w:r>
      <w:r w:rsidRPr="00F03F2D">
        <w:rPr>
          <w:noProof/>
          <w:lang w:val="en-GB"/>
        </w:rPr>
        <w:t>(Lawson Handley et al. 2011)</w:t>
      </w:r>
      <w:r>
        <w:rPr>
          <w:lang w:val="en-GB"/>
        </w:rPr>
        <w:fldChar w:fldCharType="end"/>
      </w:r>
      <w:r>
        <w:rPr>
          <w:lang w:val="en-GB"/>
        </w:rPr>
        <w:t xml:space="preserve">, because of genetic load, inbreeding depression, and drift load </w:t>
      </w:r>
      <w:r>
        <w:rPr>
          <w:lang w:val="en-GB"/>
        </w:rPr>
        <w:fldChar w:fldCharType="begin" w:fldLock="1"/>
      </w:r>
      <w:r>
        <w:rPr>
          <w:lang w:val="en-GB"/>
        </w:rPr>
        <w:instrText>ADDIN CSL_CITATION {"citationItems":[{"id":"ITEM-1","itemData":{"DOI":"10.1038/nrg2664","ISSN":"14710056","PMID":"19834483","abstract":"Inbreeding depression the reduced survival and fertility of offspring of related individuals occurs in wild animal and plant populations as well as in humans, indicating that genetic variation in fitness traits exists in natural populations. Inbreeding depression is important in the evolution of outcrossing mating systems and, because intercrossing inbred strains improves yield (heterosis), which is important in crop breeding, the genetic basis of these effects has been debated since the early twentieth century. Classical genetic studies and modern molecular evolutionary approaches now suggest that inbreeding depression and heterosis are predominantly caused by the presence of recessive deleterious mutations in populations. © 2009 Macmillan Publishers Limited. All rights reserved.","author":[{"dropping-particle":"","family":"Charlesworth","given":"Deborah","non-dropping-particle":"","parse-names":false,"suffix":""},{"dropping-particle":"","family":"Willis","given":"John H.","non-dropping-particle":"","parse-names":false,"suffix":""}],"container-title":"Nature Reviews Genetics","id":"ITEM-1","issue":"11","issued":{"date-parts":[["2009"]]},"page":"783-796","title":"The genetics of inbreeding depression","type":"article-journal","volume":"10"},"uris":["http://www.mendeley.com/documents/?uuid=f907491a-e848-41c5-99ad-4e37a964eea7"]},{"id":"ITEM-2","itemData":{"DOI":"10.1038/hdy.2012.86","ISSN":"0018067X","PMID":"23211785","abstract":"According to theory, drift load in randomly mating populations is determined by past population size, because enhanced genetic drift in small populations causes accumulation and fixation of recessive deleterious mutations of small effect. In contrast, segregating load due to mutations of low frequency should decline in smaller populations, at least when mutations are highly recessive and strongly deleterious. Strong local selection generally reduces both types of load. We tested these predictions in 13 isolated, outcrossing populations of Arabidopsis lyrata that varied in population size and plant density. Long-term size was estimated by expected heterozygosity at 20 microsatellite loci. Segregating load was assessed by comparing performance of offspring from selfings versus within-population crosses. Drift load was the heterosis effect created by interpopulation outbreeding. Results showed that segregating load was unrelated to long-term size. However, drift load was significantly higher in populations of small effective size and low density. Drift load was mostly expressed late in development, but started as early as germination and accumulated thereafter. The study largely confirms predictions of theory and illustrates that mutation accumulation can be a threat to natural populations. © 2013 Macmillan Publishers Limited All rights reserved.","author":[{"dropping-particle":"","family":"Willi","given":"Yvonne","non-dropping-particle":"","parse-names":false,"suffix":""},{"dropping-particle":"","family":"Griffin","given":"P.","non-dropping-particle":"","parse-names":false,"suffix":""},{"dropping-particle":"","family":"Buskirk","given":"J.","non-dropping-particle":"Van","parse-names":false,"suffix":""}],"container-title":"Heredity.","id":"ITEM-2","issue":"3","issued":{"date-parts":[["2013"]]},"page":"296-302","publisher":"Nature Publishing Group","title":"Drift load in populations of small size and low density","type":"article-journal","volume":"110"},"uris":["http://www.mendeley.com/documents/?uuid=b5b23ab3-24f1-4062-b3d4-36fac0036cc8"]},{"id":"ITEM-3","itemData":{"DOI":"10.1098/rspb.2014.1073","ISSN":"14712954","PMID":"25143033","abstract":"Colonization success increases with the size of the founding group. Both demographic and genetic factors underlie this relationship, yet because genetic diversity normally increases with numbers of individuals, their relative importance remains unclear. Furthermore, their influence may depend on the environment and may change as colonization progresses from establishment through population growth and then dispersal. We tested the roles of genetics, demography and environment in the founding of Tribolium castaneum populations. Using three genetic backgrounds (inbred to outbred), we released individuals of four founding sizes (2-32) into two environments (natal and novel), and measured establishment success, initial population growth and dispersal. Establishment increased with founding size, whereas population growth was shaped by founding size, genetic background and environment. Population growth was depressed by inbreeding at small founding sizes, but growth rates were similar across genetic backgrounds at large founding size, an interaction indicating that the magnitude of the genetic effects depends upon founding population size. Dispersal rates increased with genetic diversity. These results suggest that numbers of individuals may drive initial establishment, but that subsequent population growth and spread, even in the first generation of colonization, can be driven by genetic processes, including both reduced growth owing to inbreeding depression, and increased dispersal with increased genetic diversity. © 2014 The Author(s) Published by the Royal Society. All rights reserved.","author":[{"dropping-particle":"","family":"Szucs","given":"Marianna","non-dropping-particle":"","parse-names":false,"suffix":""},{"dropping-particle":"","family":"Melbourne","given":"Brett A.","non-dropping-particle":"","parse-names":false,"suffix":""},{"dropping-particle":"","family":"Tuff","given":"Ty","non-dropping-particle":"","parse-names":false,"suffix":""},{"dropping-particle":"","family":"Hufbauer","given":"Ruth A.","non-dropping-particle":"","parse-names":false,"suffix":""}],"container-title":"Proceedings of the Royal Society B: Biological Sciences","id":"ITEM-3","issue":"1792","issued":{"date-parts":[["2014"]]},"page":"20141073","title":"The roles of demography and genetics in the early stages of colonization","type":"article-journal","volume":"281"},"uris":["http://www.mendeley.com/documents/?uuid=67126e01-d11f-41c4-bc51-d37fe4572e0d"]}],"mendeley":{"formattedCitation":"(Charlesworth &amp; Willis 2009; Szucs et al. 2014; Willi et al. 2013)","plainTextFormattedCitation":"(Charlesworth &amp; Willis 2009; Szucs et al. 2014; Willi et al. 2013)","previouslyFormattedCitation":"(Charlesworth &amp; Willis 2009; Szucs et al. 2014; Willi et al. 2013)"},"properties":{"noteIndex":0},"schema":"https://github.com/citation-style-language/schema/raw/master/csl-citation.json"}</w:instrText>
      </w:r>
      <w:r>
        <w:rPr>
          <w:lang w:val="en-GB"/>
        </w:rPr>
        <w:fldChar w:fldCharType="separate"/>
      </w:r>
      <w:r w:rsidRPr="00F20A18">
        <w:rPr>
          <w:noProof/>
          <w:lang w:val="en-GB"/>
        </w:rPr>
        <w:t>(Charlesworth &amp; Willis 2009; Szucs et al. 2014; Willi et al. 2013)</w:t>
      </w:r>
      <w:r>
        <w:rPr>
          <w:lang w:val="en-GB"/>
        </w:rPr>
        <w:fldChar w:fldCharType="end"/>
      </w:r>
      <w:r>
        <w:rPr>
          <w:lang w:val="en-GB"/>
        </w:rPr>
        <w:t xml:space="preserve">. </w:t>
      </w:r>
      <w:r>
        <w:rPr>
          <w:lang w:val="en-CA"/>
        </w:rPr>
        <w:t xml:space="preserve">Similarly, TGI could be used to detect illegal human-mediated translocations of non-native individuals </w:t>
      </w:r>
      <w:r>
        <w:rPr>
          <w:lang w:val="en-CA"/>
        </w:rPr>
        <w:fldChar w:fldCharType="begin" w:fldLock="1"/>
      </w:r>
      <w:r>
        <w:rPr>
          <w:lang w:val="en-CA"/>
        </w:rPr>
        <w:instrText>ADDIN CSL_CITATION {"citationItems":[{"id":"ITEM-1","itemData":{"DOI":"10.1111/j.1365-294X.2006.03022.x","ISSN":"09621083","PMID":"16968264","abstract":"Molecular forensic methods are being increasingly used to help enforce wildlife conservation laws. Using multilocus genotyping, illegal translocation of an animal can be demonstrated by excluding all potential source populations as an individual's population of origin. Here, we illustrate how this approach can be applied to a large continuous population by defining the population genetic structure and excluding suspect animals from each identified cluster. We aimed to test the hypothesis that recreational hunters had illegally introduced a group of red deer into a hunting area in Luxembourg. Reference samples were collected over a large area in order to test the possibility that the suspect individuals might be recent immigrants. Due to isolation-by-distance relationships in the data set, inferring the number of genetic clusters using Bayesian methods was not straightforward. Biologically meaningful clusters were only obtained by simultaneously analysing spatial and genetic information using the program baps 4.1. We inferred the presence of three genetic clusters in the study region. Using partial Mantel tests, we detected barriers to gene flow other than distance, probably created by a combination of urban areas, motorways and a river valley used for viticulture. The four focal animals could be excluded with a high certainty from the three genetic subpopulations and it was therefore likely that they had been released illegally. © 2006 The Authors.","author":[{"dropping-particle":"","family":"Frantz","given":"A. C.","non-dropping-particle":"","parse-names":false,"suffix":""},{"dropping-particle":"","family":"Pourtois","given":"J. Tigel","non-dropping-particle":"","parse-names":false,"suffix":""},{"dropping-particle":"","family":"Heuertz","given":"M.","non-dropping-particle":"","parse-names":false,"suffix":""},{"dropping-particle":"","family":"Schley","given":"L.","non-dropping-particle":"","parse-names":false,"suffix":""},{"dropping-particle":"","family":"Flamand","given":"M. C.","non-dropping-particle":"","parse-names":false,"suffix":""},{"dropping-particle":"","family":"Krier","given":"A.","non-dropping-particle":"","parse-names":false,"suffix":""},{"dropping-particle":"","family":"Bertouille","given":"S.","non-dropping-particle":"","parse-names":false,"suffix":""},{"dropping-particle":"","family":"Chaumont","given":"F.","non-dropping-particle":"","parse-names":false,"suffix":""},{"dropping-particle":"","family":"Burke","given":"T.","non-dropping-particle":"","parse-names":false,"suffix":""}],"container-title":"Molecular Ecology","id":"ITEM-1","issue":"11","issued":{"date-parts":[["2006"]]},"page":"3191-3203","title":"Genetic structure and assignment tests demonstrate illegal translocation of red deer (Cervus elaphus) into a continuous population","type":"article-journal","volume":"15"},"uris":["http://www.mendeley.com/documents/?uuid=09259d0b-3554-4fb2-a02a-2a737a654761"]},{"id":"ITEM-2","itemData":{"DOI":"10.1002/ece3.3282","ISSN":"20457758","abstract":"Game species like the red deer have been subjected to anthropogenic impacts for centuries. Translocations are often carried out—sometimes illegally—not only for sporting purposes, but also to increase trophy quality, reduce inbreeding, or mitigate bottlenecks after excessive persecution. Apart from the blurring of large-scale genetic structure, translocations without adequate quarantine measure risk introducing pathogens into potentially immunologically naïve populations. It is therefore important to understand the frequency of clandestine translocations. Identification of non-autochthonous animals and their potential origin is often difficult and, in red deer, has been hampered by the lack of large-scale genotypic datasets for comparison. In the present study, we make use of a recently published European-wide microsatellite dataset to detect and quantify the presence of non-autochthonous red deer in a large population sample (n = 1,780) from Central Europe (Belgium). Using factorial correspondence analysis, assignment tests and Bayesian clustering algorithms we arrive at an estimate of 3.7% non-autochthonous animals (or their descendants). Some of these animals were assigned to a nearby French population and may have immigrated into Belgium naturally, but the large majority must have been introduced by humans. Our analysis pointed to the British Isles and Germany/Poland as the potential origin of many introduced deer, regions known to have been source populations for translocations in Europe and beyond. We found evidence for recreational hunters using carcasses from farmed deer to fulfill mandatory hunting quotas. Our study is the first to quantify the extent of human-mediated introductions in a European game species at such a large scale with large and representative sample sizes.","author":[{"dropping-particle":"","family":"Frantz","given":"Alain C.","non-dropping-particle":"","parse-names":false,"suffix":""},{"dropping-particle":"","family":"Zachos","given":"Frank E.","non-dropping-particle":"","parse-names":false,"suffix":""},{"dropping-particle":"","family":"Bertouille","given":"Sabine","non-dropping-particle":"","parse-names":false,"suffix":""},{"dropping-particle":"","family":"Eloy","given":"Marie Christine","non-dropping-particle":"","parse-names":false,"suffix":""},{"dropping-particle":"","family":"Colyn","given":"Marc","non-dropping-particle":"","parse-names":false,"suffix":""},{"dropping-particle":"","family":"Flamand","given":"Marie Christine","non-dropping-particle":"","parse-names":false,"suffix":""}],"container-title":"Ecology and Evolution","id":"ITEM-2","issue":"19","issued":{"date-parts":[["2017"]]},"page":"7650-7660","title":"Using genetic tools to estimate the prevalence of non-native red deer (Cervus elaphus) in a Western European population","type":"article-journal","volume":"7"},"uris":["http://www.mendeley.com/documents/?uuid=33c9699b-b9ba-4351-a055-7cd48e403b63"]},{"id":"ITEM-3","itemData":{"DOI":"10.1007/s10592-016-0825-6","ISSN":"15729737","abstract":"Genetic pollution through introgressive hybridization of local species by exotic relatives is a major, yet neglected aspect of biological invasions, particularly in amphibians where human introductions are frequent. In Western Switzerland, crested newts make an interesting case: the Italian species Triturus carnifex was introduced at least a century ago within the range of the native and threatened T. cristatus. To understand the genetic consequences of this introduction and inform wildlife management authorities, we conducted a genetic survey on the remaining northern crested newt populations known in the area, using newly-developed species-diagnostic nuclear (microsatellites) and mitochondrial (control region) DNA markers. We documented massive nuclear introgression by the T. carnifex genome, which has completely replaced T. cristatus in most populations, especially in the Geneva area where the introduction was originally reported. However, many of these individuals retained the ancestral T. cristatus mtDNA, which could be explained by asymmetric introgression between the two species, stemming from demographic and/or selective processes. Analyses of genetic diversity support multiple events of T. carnifex releases, most-likely of proximate North Italian origin. We pinpointed the last indigenous populations in the region and recommend to prioritize their protection. Our study demonstrates the invasive potential of introduced taxa through introgressive hybridization, alerts about the underestimated rate of illegal amphibian translocations, and emphasizes the need for genetic analyses to monitor such invasions.","author":[{"dropping-particle":"","family":"Dufresnes","given":"Christophe","non-dropping-particle":"","parse-names":false,"suffix":""},{"dropping-particle":"","family":"Pellet","given":"Jérôme","non-dropping-particle":"","parse-names":false,"suffix":""},{"dropping-particle":"","family":"Bettinelli-Riccardi","given":"Sandra","non-dropping-particle":"","parse-names":false,"suffix":""},{"dropping-particle":"","family":"Thiébaud","given":"Jacques","non-dropping-particle":"","parse-names":false,"suffix":""},{"dropping-particle":"","family":"Perrin","given":"Nicolas","non-dropping-particle":"","parse-names":false,"suffix":""},{"dropping-particle":"","family":"Fumagalli","given":"Luca","non-dropping-particle":"","parse-names":false,"suffix":""}],"container-title":"Conservation Genetics","id":"ITEM-3","issue":"4","issued":{"date-parts":[["2016"]]},"page":"839-846","title":"Massive genetic introgression in threatened northern crested newts (Triturus cristatus) by an invasive congener (T. carnifex) in Western Switzerland","type":"article-journal","volume":"17"},"uris":["http://www.mendeley.com/documents/?uuid=e01b820d-e4f0-43eb-90b6-df34d770195e"]}],"mendeley":{"formattedCitation":"(Dufresnes et al. 2016; Frantz et al. 2006, 2017)","plainTextFormattedCitation":"(Dufresnes et al. 2016; Frantz et al. 2006, 2017)","previouslyFormattedCitation":"(Dufresnes et al. 2016; Frantz et al. 2006, 2017)"},"properties":{"noteIndex":0},"schema":"https://github.com/citation-style-language/schema/raw/master/csl-citation.json"}</w:instrText>
      </w:r>
      <w:r>
        <w:rPr>
          <w:lang w:val="en-CA"/>
        </w:rPr>
        <w:fldChar w:fldCharType="separate"/>
      </w:r>
      <w:r w:rsidRPr="00C40FDF">
        <w:rPr>
          <w:noProof/>
          <w:lang w:val="en-CA"/>
        </w:rPr>
        <w:t>(Dufresnes et al. 2016; Frantz et al. 2006, 2017)</w:t>
      </w:r>
      <w:r>
        <w:rPr>
          <w:lang w:val="en-CA"/>
        </w:rPr>
        <w:fldChar w:fldCharType="end"/>
      </w:r>
      <w:r>
        <w:rPr>
          <w:lang w:val="en-CA"/>
        </w:rPr>
        <w:t xml:space="preserve"> which can be an issue because of maladaptation, outbreeding depression, and pathogen introduction in naïve populations.</w:t>
      </w:r>
    </w:p>
    <w:p w14:paraId="5BB29FBC" w14:textId="77777777" w:rsidR="008D3B5A" w:rsidRPr="00310630" w:rsidRDefault="008D3B5A" w:rsidP="008D3B5A">
      <w:pPr>
        <w:pStyle w:val="Heading3"/>
        <w:rPr>
          <w:lang w:val="en-GB"/>
        </w:rPr>
      </w:pPr>
      <w:bookmarkStart w:id="52" w:name="_Toc81356490"/>
      <w:r w:rsidRPr="00310630">
        <w:rPr>
          <w:lang w:val="en-GB"/>
        </w:rPr>
        <w:t>Acknowledgements</w:t>
      </w:r>
      <w:bookmarkEnd w:id="52"/>
    </w:p>
    <w:p w14:paraId="6EA6C8AF" w14:textId="4E232D1F" w:rsidR="008D3B5A" w:rsidRDefault="008D3B5A" w:rsidP="004775A3">
      <w:pPr>
        <w:spacing w:line="480" w:lineRule="auto"/>
        <w:rPr>
          <w:lang w:val="en-GB"/>
        </w:rPr>
      </w:pPr>
      <w:r w:rsidRPr="00362827">
        <w:rPr>
          <w:lang w:val="en-GB"/>
        </w:rPr>
        <w:t xml:space="preserve">This research was supported by a grant to PMAJ and the TRIA Network from the Natural Sciences and Engineering Research Council of Canada (grant no. </w:t>
      </w:r>
      <w:r w:rsidRPr="00AA1332">
        <w:rPr>
          <w:lang w:val="en-GB"/>
        </w:rPr>
        <w:t xml:space="preserve">NET GP 434810-12), with contributions from Alberta Agriculture and Forestry, </w:t>
      </w:r>
      <w:proofErr w:type="spellStart"/>
      <w:r w:rsidRPr="00AA1332">
        <w:rPr>
          <w:lang w:val="en-GB"/>
        </w:rPr>
        <w:t>fRI</w:t>
      </w:r>
      <w:proofErr w:type="spellEnd"/>
      <w:r w:rsidRPr="00AA1332">
        <w:rPr>
          <w:lang w:val="en-GB"/>
        </w:rPr>
        <w:t xml:space="preserve"> Research, Manitoba Conservation and Water Stewardship, Canadian Forest Service (Natural Resources Canada), Northwest Territories Environment and Natural Resources, Ontario Ministry of Natural Resources and Forestry, Saskatchewan Ministry of Environment, West Fraser, and Weyerhaeuser. </w:t>
      </w:r>
      <w:r w:rsidRPr="00362827">
        <w:rPr>
          <w:lang w:val="en-GB"/>
        </w:rPr>
        <w:t xml:space="preserve">This </w:t>
      </w:r>
      <w:r w:rsidRPr="00362827">
        <w:rPr>
          <w:lang w:val="en-GB"/>
        </w:rPr>
        <w:lastRenderedPageBreak/>
        <w:t>research was also supported by a Discovery Grant to PMAJ. JW was also supported by a scholarship from the Forest Complexity Modelling (FCM) NSERC CREATE. Computations were made on the supercomputer CEDAR managed by Compute Canada (</w:t>
      </w:r>
      <w:hyperlink r:id="rId9" w:history="1">
        <w:r w:rsidRPr="00362827">
          <w:rPr>
            <w:rStyle w:val="Hyperlink"/>
            <w:szCs w:val="24"/>
            <w:lang w:val="en-GB"/>
          </w:rPr>
          <w:t>www.computecanada.ca</w:t>
        </w:r>
      </w:hyperlink>
      <w:r w:rsidRPr="00362827">
        <w:rPr>
          <w:lang w:val="en-GB"/>
        </w:rPr>
        <w:t xml:space="preserve">). We thank Jeremy </w:t>
      </w:r>
      <w:proofErr w:type="spellStart"/>
      <w:r w:rsidRPr="00362827">
        <w:rPr>
          <w:lang w:val="en-GB"/>
        </w:rPr>
        <w:t>Larroque</w:t>
      </w:r>
      <w:proofErr w:type="spellEnd"/>
      <w:r w:rsidRPr="00362827">
        <w:rPr>
          <w:lang w:val="en-GB"/>
        </w:rPr>
        <w:t xml:space="preserve">, </w:t>
      </w:r>
      <w:proofErr w:type="spellStart"/>
      <w:r w:rsidRPr="00362827">
        <w:rPr>
          <w:lang w:val="en-GB"/>
        </w:rPr>
        <w:t>Hinatea</w:t>
      </w:r>
      <w:proofErr w:type="spellEnd"/>
      <w:r w:rsidRPr="00362827">
        <w:rPr>
          <w:lang w:val="en-GB"/>
        </w:rPr>
        <w:t xml:space="preserve"> </w:t>
      </w:r>
      <w:proofErr w:type="spellStart"/>
      <w:r w:rsidRPr="00362827">
        <w:rPr>
          <w:lang w:val="en-GB"/>
        </w:rPr>
        <w:t>Ariey</w:t>
      </w:r>
      <w:proofErr w:type="spellEnd"/>
      <w:r w:rsidRPr="00362827">
        <w:rPr>
          <w:lang w:val="en-GB"/>
        </w:rPr>
        <w:t xml:space="preserve"> and Charlotte Van </w:t>
      </w:r>
      <w:proofErr w:type="spellStart"/>
      <w:r w:rsidRPr="00362827">
        <w:rPr>
          <w:lang w:val="en-GB"/>
        </w:rPr>
        <w:t>Engeland</w:t>
      </w:r>
      <w:proofErr w:type="spellEnd"/>
      <w:r w:rsidRPr="00362827">
        <w:rPr>
          <w:lang w:val="en-GB"/>
        </w:rPr>
        <w:t xml:space="preserve"> for their comments on an earlier version of the manuscript.</w:t>
      </w:r>
    </w:p>
    <w:p w14:paraId="21624125" w14:textId="77777777" w:rsidR="00FF6757" w:rsidRPr="00FF6757" w:rsidRDefault="00FF6757" w:rsidP="00FF6757">
      <w:pPr>
        <w:pStyle w:val="Heading1"/>
        <w:rPr>
          <w:lang w:val="en-GB"/>
        </w:rPr>
      </w:pPr>
      <w:r w:rsidRPr="00FF6757">
        <w:rPr>
          <w:lang w:val="en-GB"/>
        </w:rPr>
        <w:t>References</w:t>
      </w:r>
    </w:p>
    <w:p w14:paraId="5169F072"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Pr>
          <w:lang w:val="fr-FR"/>
        </w:rPr>
        <w:fldChar w:fldCharType="begin" w:fldLock="1"/>
      </w:r>
      <w:r w:rsidRPr="00FF6757">
        <w:rPr>
          <w:lang w:val="en-GB"/>
        </w:rPr>
        <w:instrText xml:space="preserve">ADDIN Mendeley Bibliography CSL_BIBLIOGRAPHY </w:instrText>
      </w:r>
      <w:r>
        <w:rPr>
          <w:lang w:val="fr-FR"/>
        </w:rPr>
        <w:fldChar w:fldCharType="separate"/>
      </w:r>
      <w:r w:rsidRPr="00FF6757">
        <w:rPr>
          <w:noProof/>
          <w:szCs w:val="24"/>
          <w:lang w:val="en-GB"/>
        </w:rPr>
        <w:t xml:space="preserve">Aeschbacher S, Selby JP, Willis JH, Coop GM. 2017. Population-genomic inference of the strength and timing of selection against gene flow. </w:t>
      </w:r>
      <w:r w:rsidRPr="00FF6757">
        <w:rPr>
          <w:i/>
          <w:iCs/>
          <w:noProof/>
          <w:szCs w:val="24"/>
          <w:lang w:val="en-GB"/>
        </w:rPr>
        <w:t>Proc. Natl. Acad. Sci. U. S. A.</w:t>
      </w:r>
      <w:r w:rsidRPr="00FF6757">
        <w:rPr>
          <w:noProof/>
          <w:szCs w:val="24"/>
          <w:lang w:val="en-GB"/>
        </w:rPr>
        <w:t xml:space="preserve"> 114(27):7061–66</w:t>
      </w:r>
    </w:p>
    <w:p w14:paraId="683A349B"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Agapow PM, Burt A. 2001. Indices of multilocus linkage disequilibrium. </w:t>
      </w:r>
      <w:r w:rsidRPr="00FF6757">
        <w:rPr>
          <w:i/>
          <w:iCs/>
          <w:noProof/>
          <w:szCs w:val="24"/>
          <w:lang w:val="en-GB"/>
        </w:rPr>
        <w:t>Mol. Ecol. Notes</w:t>
      </w:r>
      <w:r w:rsidRPr="00FF6757">
        <w:rPr>
          <w:noProof/>
          <w:szCs w:val="24"/>
          <w:lang w:val="en-GB"/>
        </w:rPr>
        <w:t>. 1(1–2):101–2</w:t>
      </w:r>
    </w:p>
    <w:p w14:paraId="1C010D6E"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Albrechtsen A, Nielsen FC, Nielsen R. 2010. Ascertainment biases in SNP chips affect measures of population divergence. </w:t>
      </w:r>
      <w:r w:rsidRPr="00FF6757">
        <w:rPr>
          <w:i/>
          <w:iCs/>
          <w:noProof/>
          <w:szCs w:val="24"/>
          <w:lang w:val="en-GB"/>
        </w:rPr>
        <w:t>Mol. Biol. Evol.</w:t>
      </w:r>
      <w:r w:rsidRPr="00FF6757">
        <w:rPr>
          <w:noProof/>
          <w:szCs w:val="24"/>
          <w:lang w:val="en-GB"/>
        </w:rPr>
        <w:t xml:space="preserve"> 27(11):2534–47</w:t>
      </w:r>
    </w:p>
    <w:p w14:paraId="6F6CF6BF"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Allendorf FW, Hohenlohe PA, Luikart G. 2010. Genomics and the future of conservation genetics. </w:t>
      </w:r>
      <w:r w:rsidRPr="00FF6757">
        <w:rPr>
          <w:i/>
          <w:iCs/>
          <w:noProof/>
          <w:szCs w:val="24"/>
          <w:lang w:val="en-GB"/>
        </w:rPr>
        <w:t>Nat. Rev. Genet.</w:t>
      </w:r>
      <w:r w:rsidRPr="00FF6757">
        <w:rPr>
          <w:noProof/>
          <w:szCs w:val="24"/>
          <w:lang w:val="en-GB"/>
        </w:rPr>
        <w:t xml:space="preserve"> 11(10):697–709</w:t>
      </w:r>
    </w:p>
    <w:p w14:paraId="4242E9A9"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Allio R, Donega S, Galtier N, Nabholz B. 2017. Large variation in the ratio of mitochondrial to nuclear mutation rate across animals: Implications for genetic diversity and the use of mitochondrial DNA as a molecular marker. </w:t>
      </w:r>
      <w:r w:rsidRPr="00FF6757">
        <w:rPr>
          <w:i/>
          <w:iCs/>
          <w:noProof/>
          <w:szCs w:val="24"/>
          <w:lang w:val="en-GB"/>
        </w:rPr>
        <w:t>Mol. Biol. Evol.</w:t>
      </w:r>
      <w:r w:rsidRPr="00FF6757">
        <w:rPr>
          <w:noProof/>
          <w:szCs w:val="24"/>
          <w:lang w:val="en-GB"/>
        </w:rPr>
        <w:t xml:space="preserve"> 34(11):2762–72</w:t>
      </w:r>
    </w:p>
    <w:p w14:paraId="1C0ABE01"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Anderson CD, Epperson BK, Fortin M-J, Holderegger R, James PMA, et al. 2010. Considering spatial and temporal scale in landscape-genetic studies of gene flow. </w:t>
      </w:r>
      <w:r w:rsidRPr="00FF6757">
        <w:rPr>
          <w:i/>
          <w:iCs/>
          <w:noProof/>
          <w:szCs w:val="24"/>
          <w:lang w:val="en-GB"/>
        </w:rPr>
        <w:t>Mol. Ecol.</w:t>
      </w:r>
      <w:r w:rsidRPr="00FF6757">
        <w:rPr>
          <w:noProof/>
          <w:szCs w:val="24"/>
          <w:lang w:val="en-GB"/>
        </w:rPr>
        <w:t xml:space="preserve"> 19(17):3565–75</w:t>
      </w:r>
    </w:p>
    <w:p w14:paraId="6327FC63"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Apodaca JJ, Trexler JC, Jue NK, Schrader M, Travis J. 2013. Large-scale natural disturbance alters genetic population structure of the sailfin molly, poecilia latipinna. </w:t>
      </w:r>
      <w:r w:rsidRPr="00FF6757">
        <w:rPr>
          <w:i/>
          <w:iCs/>
          <w:noProof/>
          <w:szCs w:val="24"/>
          <w:lang w:val="en-GB"/>
        </w:rPr>
        <w:t>Am. Nat.</w:t>
      </w:r>
      <w:r w:rsidRPr="00FF6757">
        <w:rPr>
          <w:noProof/>
          <w:szCs w:val="24"/>
          <w:lang w:val="en-GB"/>
        </w:rPr>
        <w:t xml:space="preserve"> 181(2):254–63</w:t>
      </w:r>
    </w:p>
    <w:p w14:paraId="100A3B82"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Austerlitz F, Mariette S, Machon N, Gouyon PH, Godelle B. 2000. Effects of colonization processes on genetic diversity: Differences between annual plants and tree species. </w:t>
      </w:r>
      <w:r w:rsidRPr="00FF6757">
        <w:rPr>
          <w:i/>
          <w:iCs/>
          <w:noProof/>
          <w:szCs w:val="24"/>
          <w:lang w:val="en-GB"/>
        </w:rPr>
        <w:t>Genetics</w:t>
      </w:r>
      <w:r w:rsidRPr="00FF6757">
        <w:rPr>
          <w:noProof/>
          <w:szCs w:val="24"/>
          <w:lang w:val="en-GB"/>
        </w:rPr>
        <w:t>. 154(3):1309–21</w:t>
      </w:r>
    </w:p>
    <w:p w14:paraId="7399A006"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Banks SC, Cary GJ, Smith AL, Davies ID, Driscoll DA, et al. 2013. How does ecological disturbance influence genetic diversity? </w:t>
      </w:r>
      <w:r w:rsidRPr="00FF6757">
        <w:rPr>
          <w:i/>
          <w:iCs/>
          <w:noProof/>
          <w:szCs w:val="24"/>
          <w:lang w:val="en-GB"/>
        </w:rPr>
        <w:t>Trends Ecol. Evol.</w:t>
      </w:r>
      <w:r w:rsidRPr="00FF6757">
        <w:rPr>
          <w:noProof/>
          <w:szCs w:val="24"/>
          <w:lang w:val="en-GB"/>
        </w:rPr>
        <w:t xml:space="preserve"> 28(11):670–79</w:t>
      </w:r>
    </w:p>
    <w:p w14:paraId="679CF00D"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Battey CJ, Ralph PL, Kern AD. 2020. Space is the place: Effects of continuous spatial structure on analysis of population genetic data. </w:t>
      </w:r>
      <w:r w:rsidRPr="00FF6757">
        <w:rPr>
          <w:i/>
          <w:iCs/>
          <w:noProof/>
          <w:szCs w:val="24"/>
          <w:lang w:val="en-GB"/>
        </w:rPr>
        <w:t>Genetics</w:t>
      </w:r>
      <w:r w:rsidRPr="00FF6757">
        <w:rPr>
          <w:noProof/>
          <w:szCs w:val="24"/>
          <w:lang w:val="en-GB"/>
        </w:rPr>
        <w:t>. 215(1):193–214</w:t>
      </w:r>
    </w:p>
    <w:p w14:paraId="0AB215E4"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Bellard C, Bertelsmeier C, Leadley P, Thuiller W, Courchamp F. 2012. Impacts of climate change on the future of biodiversity. </w:t>
      </w:r>
      <w:r w:rsidRPr="00FF6757">
        <w:rPr>
          <w:i/>
          <w:iCs/>
          <w:noProof/>
          <w:szCs w:val="24"/>
          <w:lang w:val="en-GB"/>
        </w:rPr>
        <w:t>Ecol. Lett.</w:t>
      </w:r>
      <w:r w:rsidRPr="00FF6757">
        <w:rPr>
          <w:noProof/>
          <w:szCs w:val="24"/>
          <w:lang w:val="en-GB"/>
        </w:rPr>
        <w:t xml:space="preserve"> 15(4):365–77</w:t>
      </w:r>
    </w:p>
    <w:p w14:paraId="6CFE8645"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Bennett PI, Stone JK. 2019. Environmental variables associated with Nothophaeocryptopus gaeumannii population structure and Swiss needle cast severity in Western Oregon and Washington. </w:t>
      </w:r>
      <w:r w:rsidRPr="00FF6757">
        <w:rPr>
          <w:i/>
          <w:iCs/>
          <w:noProof/>
          <w:szCs w:val="24"/>
          <w:lang w:val="en-GB"/>
        </w:rPr>
        <w:t>Ecol. Evol.</w:t>
      </w:r>
      <w:r w:rsidRPr="00FF6757">
        <w:rPr>
          <w:noProof/>
          <w:szCs w:val="24"/>
          <w:lang w:val="en-GB"/>
        </w:rPr>
        <w:t xml:space="preserve"> 9(19):11379–94</w:t>
      </w:r>
    </w:p>
    <w:p w14:paraId="7B71F8FA"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Bezault E, Balaresque P, Toguyeni A, Fermon Y, Araki H, et al. 2011. Spatial and temporal variation in population genetic structure of wild Nile tilapia (Oreochromis niloticus) across Africa. </w:t>
      </w:r>
      <w:r w:rsidRPr="00FF6757">
        <w:rPr>
          <w:i/>
          <w:iCs/>
          <w:noProof/>
          <w:szCs w:val="24"/>
          <w:lang w:val="en-GB"/>
        </w:rPr>
        <w:t>BMC Genet.</w:t>
      </w:r>
      <w:r w:rsidRPr="00FF6757">
        <w:rPr>
          <w:noProof/>
          <w:szCs w:val="24"/>
          <w:lang w:val="en-GB"/>
        </w:rPr>
        <w:t xml:space="preserve"> 12:</w:t>
      </w:r>
    </w:p>
    <w:p w14:paraId="5E698F05"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lastRenderedPageBreak/>
        <w:t xml:space="preserve">Bezemer N, Krauss SL, Roberts DG, Hopper SD. 2019. Conservation of old individual trees and small populations is integral to maintain species’ genetic diversity of a historically fragmented woody perennial. </w:t>
      </w:r>
      <w:r w:rsidRPr="00FF6757">
        <w:rPr>
          <w:i/>
          <w:iCs/>
          <w:noProof/>
          <w:szCs w:val="24"/>
          <w:lang w:val="en-GB"/>
        </w:rPr>
        <w:t>Mol. Ecol.</w:t>
      </w:r>
      <w:r w:rsidRPr="00FF6757">
        <w:rPr>
          <w:noProof/>
          <w:szCs w:val="24"/>
          <w:lang w:val="en-GB"/>
        </w:rPr>
        <w:t xml:space="preserve"> 28(14):3339–57</w:t>
      </w:r>
    </w:p>
    <w:p w14:paraId="12A0AAEE"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Bhatia G, Patterson N, Sankararaman S, Price AL. 2013. Estimating and interpreting F. </w:t>
      </w:r>
      <w:r w:rsidRPr="00FF6757">
        <w:rPr>
          <w:i/>
          <w:iCs/>
          <w:noProof/>
          <w:szCs w:val="24"/>
          <w:lang w:val="en-GB"/>
        </w:rPr>
        <w:t>Genome Res.</w:t>
      </w:r>
      <w:r w:rsidRPr="00FF6757">
        <w:rPr>
          <w:noProof/>
          <w:szCs w:val="24"/>
          <w:lang w:val="en-GB"/>
        </w:rPr>
        <w:t xml:space="preserve"> (2):1–9</w:t>
      </w:r>
    </w:p>
    <w:p w14:paraId="38CA2675"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Bohl CL, Kass JM, Anderson RP. 2019. A new null model approach to quantify performance and significance for ecological niche models of species distributions. </w:t>
      </w:r>
      <w:r w:rsidRPr="00FF6757">
        <w:rPr>
          <w:i/>
          <w:iCs/>
          <w:noProof/>
          <w:szCs w:val="24"/>
          <w:lang w:val="en-GB"/>
        </w:rPr>
        <w:t>J. Biogeogr.</w:t>
      </w:r>
      <w:r w:rsidRPr="00FF6757">
        <w:rPr>
          <w:noProof/>
          <w:szCs w:val="24"/>
          <w:lang w:val="en-GB"/>
        </w:rPr>
        <w:t xml:space="preserve"> 46(6):1101–11</w:t>
      </w:r>
    </w:p>
    <w:p w14:paraId="3E32209C"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Bolnick DI, Nosil P. 2007. Natural selection in populations subject to a migration load. </w:t>
      </w:r>
      <w:r w:rsidRPr="00FF6757">
        <w:rPr>
          <w:i/>
          <w:iCs/>
          <w:noProof/>
          <w:szCs w:val="24"/>
          <w:lang w:val="en-GB"/>
        </w:rPr>
        <w:t>Evolution.</w:t>
      </w:r>
      <w:r w:rsidRPr="00FF6757">
        <w:rPr>
          <w:noProof/>
          <w:szCs w:val="24"/>
          <w:lang w:val="en-GB"/>
        </w:rPr>
        <w:t xml:space="preserve"> 61(9):2229–43</w:t>
      </w:r>
    </w:p>
    <w:p w14:paraId="2419CCCD"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Bradburd GS, Ralph PL. 2019. Spatial Population Genetics: It’s About Time. </w:t>
      </w:r>
      <w:r w:rsidRPr="00FF6757">
        <w:rPr>
          <w:i/>
          <w:iCs/>
          <w:noProof/>
          <w:szCs w:val="24"/>
          <w:lang w:val="en-GB"/>
        </w:rPr>
        <w:t>Annu. Rev. Ecol. Evol. Syst.</w:t>
      </w:r>
      <w:r w:rsidRPr="00FF6757">
        <w:rPr>
          <w:noProof/>
          <w:szCs w:val="24"/>
          <w:lang w:val="en-GB"/>
        </w:rPr>
        <w:t xml:space="preserve"> 50(1):427–49</w:t>
      </w:r>
    </w:p>
    <w:p w14:paraId="0CD29CEF"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Buschbom J, Yanbaev Y, Degen B. 2011. Efficient long-distance gene flow into an isolated relict oak stand. </w:t>
      </w:r>
      <w:r w:rsidRPr="007E3576">
        <w:rPr>
          <w:i/>
          <w:iCs/>
          <w:noProof/>
          <w:szCs w:val="24"/>
          <w:lang w:val="en-GB"/>
        </w:rPr>
        <w:t>J. Hered.</w:t>
      </w:r>
      <w:r w:rsidRPr="007E3576">
        <w:rPr>
          <w:noProof/>
          <w:szCs w:val="24"/>
          <w:lang w:val="en-GB"/>
        </w:rPr>
        <w:t xml:space="preserve"> 102(4):464–72</w:t>
      </w:r>
    </w:p>
    <w:p w14:paraId="06DB22BE"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Catano CP, Dickson TL, Myers JA. 2017. Dispersal and neutral sampling mediate contingent effects of disturbance on plant beta-diversity: a meta-analysis. </w:t>
      </w:r>
      <w:r w:rsidRPr="007E3576">
        <w:rPr>
          <w:i/>
          <w:iCs/>
          <w:noProof/>
          <w:szCs w:val="24"/>
          <w:lang w:val="en-GB"/>
        </w:rPr>
        <w:t>Ecol. Lett.</w:t>
      </w:r>
      <w:r w:rsidRPr="007E3576">
        <w:rPr>
          <w:noProof/>
          <w:szCs w:val="24"/>
          <w:lang w:val="en-GB"/>
        </w:rPr>
        <w:t xml:space="preserve"> 20(3):347–56</w:t>
      </w:r>
    </w:p>
    <w:p w14:paraId="1FD0830E"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Charlesworth D, Willis JH. 2009. The genetics of inbreeding depression. </w:t>
      </w:r>
      <w:r w:rsidRPr="007E3576">
        <w:rPr>
          <w:i/>
          <w:iCs/>
          <w:noProof/>
          <w:szCs w:val="24"/>
          <w:lang w:val="en-GB"/>
        </w:rPr>
        <w:t>Nat. Rev. Genet.</w:t>
      </w:r>
      <w:r w:rsidRPr="007E3576">
        <w:rPr>
          <w:noProof/>
          <w:szCs w:val="24"/>
          <w:lang w:val="en-GB"/>
        </w:rPr>
        <w:t xml:space="preserve"> 10(11):783–96</w:t>
      </w:r>
    </w:p>
    <w:p w14:paraId="1D407420"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Clark AG, Hubisz MJ, Bustamante CD, Williamson SH, Nielsen R. 2005. Ascertainment bias in studies of human genome-wide polymorphism. </w:t>
      </w:r>
      <w:r w:rsidRPr="007E3576">
        <w:rPr>
          <w:i/>
          <w:iCs/>
          <w:noProof/>
          <w:szCs w:val="24"/>
          <w:lang w:val="en-GB"/>
        </w:rPr>
        <w:t>Genome Res.</w:t>
      </w:r>
      <w:r w:rsidRPr="007E3576">
        <w:rPr>
          <w:noProof/>
          <w:szCs w:val="24"/>
          <w:lang w:val="en-GB"/>
        </w:rPr>
        <w:t xml:space="preserve"> 15(11):1496–1502</w:t>
      </w:r>
    </w:p>
    <w:p w14:paraId="4CB3A067"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Condit R, Pitman N, Leigh EG, Chave J, Terborgh J, et al. 2002. Beta-diversity in tropical forest trees. </w:t>
      </w:r>
      <w:r w:rsidRPr="007E3576">
        <w:rPr>
          <w:i/>
          <w:iCs/>
          <w:noProof/>
          <w:szCs w:val="24"/>
          <w:lang w:val="en-GB"/>
        </w:rPr>
        <w:t>Science.</w:t>
      </w:r>
      <w:r w:rsidRPr="007E3576">
        <w:rPr>
          <w:noProof/>
          <w:szCs w:val="24"/>
          <w:lang w:val="en-GB"/>
        </w:rPr>
        <w:t xml:space="preserve"> 295(5555):666–69</w:t>
      </w:r>
    </w:p>
    <w:p w14:paraId="221D72C6"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Conradi T, Temperton VM, Kollmann J. 2017. Beta diversity of plant species in human-transformed landscapes: Control of community assembly by regional productivity and historical connectivity. </w:t>
      </w:r>
      <w:r w:rsidRPr="007E3576">
        <w:rPr>
          <w:i/>
          <w:iCs/>
          <w:noProof/>
          <w:szCs w:val="24"/>
          <w:lang w:val="en-GB"/>
        </w:rPr>
        <w:t>Perspect. Plant Ecol. Evol. Syst.</w:t>
      </w:r>
      <w:r w:rsidRPr="007E3576">
        <w:rPr>
          <w:noProof/>
          <w:szCs w:val="24"/>
          <w:lang w:val="en-GB"/>
        </w:rPr>
        <w:t xml:space="preserve"> 24:1–10</w:t>
      </w:r>
    </w:p>
    <w:p w14:paraId="5EC8EA3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Culina A, van den Berg I, Evans S, Sánchez-Tójar A. 2020. Low availability of code in ecology: A call for urgent action. </w:t>
      </w:r>
      <w:r w:rsidRPr="007E3576">
        <w:rPr>
          <w:i/>
          <w:iCs/>
          <w:noProof/>
          <w:szCs w:val="24"/>
          <w:lang w:val="en-GB"/>
        </w:rPr>
        <w:t>PLoS Biol.</w:t>
      </w:r>
      <w:r w:rsidRPr="007E3576">
        <w:rPr>
          <w:noProof/>
          <w:szCs w:val="24"/>
          <w:lang w:val="en-GB"/>
        </w:rPr>
        <w:t xml:space="preserve"> 18(7):1–9</w:t>
      </w:r>
    </w:p>
    <w:p w14:paraId="5CCE73CF"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Dale MRT, Fortin M-J. 2014. </w:t>
      </w:r>
      <w:r w:rsidRPr="007E3576">
        <w:rPr>
          <w:i/>
          <w:iCs/>
          <w:noProof/>
          <w:szCs w:val="24"/>
          <w:lang w:val="en-GB"/>
        </w:rPr>
        <w:t>Spatial Analysis: A Guide for Ecologists</w:t>
      </w:r>
      <w:r w:rsidRPr="007E3576">
        <w:rPr>
          <w:noProof/>
          <w:szCs w:val="24"/>
          <w:lang w:val="en-GB"/>
        </w:rPr>
        <w:t>. Cambridge, UK: Cambridge University Press. 2nd ed.</w:t>
      </w:r>
    </w:p>
    <w:p w14:paraId="773DA3A3"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De Cáceres M, Coll L, Legendre P, Allen RB, Wiser SK, et al. 2019. Trajectory analysis in community ecology. </w:t>
      </w:r>
      <w:r w:rsidRPr="007E3576">
        <w:rPr>
          <w:i/>
          <w:iCs/>
          <w:noProof/>
          <w:szCs w:val="24"/>
          <w:lang w:val="en-GB"/>
        </w:rPr>
        <w:t>Ecol. Monogr.</w:t>
      </w:r>
      <w:r w:rsidRPr="007E3576">
        <w:rPr>
          <w:noProof/>
          <w:szCs w:val="24"/>
          <w:lang w:val="en-GB"/>
        </w:rPr>
        <w:t xml:space="preserve"> 89(2):1–20</w:t>
      </w:r>
    </w:p>
    <w:p w14:paraId="12BBA372"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Díez-del-Molino D, Sánchez-Barreiro F, Barnes I, Gilbert MTP, Dalén L. 2018. Quantifying Temporal Genomic Erosion in Endangered Species. </w:t>
      </w:r>
      <w:r w:rsidRPr="007E3576">
        <w:rPr>
          <w:i/>
          <w:iCs/>
          <w:noProof/>
          <w:szCs w:val="24"/>
          <w:lang w:val="en-GB"/>
        </w:rPr>
        <w:t>Trends Ecol. Evol.</w:t>
      </w:r>
      <w:r w:rsidRPr="007E3576">
        <w:rPr>
          <w:noProof/>
          <w:szCs w:val="24"/>
          <w:lang w:val="en-GB"/>
        </w:rPr>
        <w:t xml:space="preserve"> 33(3):176–85</w:t>
      </w:r>
    </w:p>
    <w:p w14:paraId="437A1060"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Dirzo R, Young HS, Galetti M, Ceballos G, Isaac NJB, Collen B. 2014. Defaunation in the Anthropocene. </w:t>
      </w:r>
      <w:r w:rsidRPr="007E3576">
        <w:rPr>
          <w:i/>
          <w:iCs/>
          <w:noProof/>
          <w:szCs w:val="24"/>
          <w:lang w:val="en-GB"/>
        </w:rPr>
        <w:t>Science.</w:t>
      </w:r>
      <w:r w:rsidRPr="007E3576">
        <w:rPr>
          <w:noProof/>
          <w:szCs w:val="24"/>
          <w:lang w:val="en-GB"/>
        </w:rPr>
        <w:t xml:space="preserve"> 401(6195):401–6</w:t>
      </w:r>
    </w:p>
    <w:p w14:paraId="3CD3030C"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Draheim HM, Moore JA, Fortin M-J, Scribner KT. 2018. Beyond the snapshot: Landscape genetic analysis of time series data reveal responses of American black bears to landscape change. </w:t>
      </w:r>
      <w:r w:rsidRPr="007E3576">
        <w:rPr>
          <w:i/>
          <w:iCs/>
          <w:noProof/>
          <w:szCs w:val="24"/>
          <w:lang w:val="en-GB"/>
        </w:rPr>
        <w:t>Evol. Appl.</w:t>
      </w:r>
      <w:r w:rsidRPr="007E3576">
        <w:rPr>
          <w:noProof/>
          <w:szCs w:val="24"/>
          <w:lang w:val="en-GB"/>
        </w:rPr>
        <w:t xml:space="preserve"> 11(8):1219–30</w:t>
      </w:r>
    </w:p>
    <w:p w14:paraId="0628CAD7"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Dray S, Bauman D, Blanchet FG, Borcard D, Clappe S, et al. 2019. adespatial: multivariate multiscale spatial analysis.</w:t>
      </w:r>
    </w:p>
    <w:p w14:paraId="65FA47A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Dufresnes C, Pellet J, Bettinelli-Riccardi S, Thiébaud J, Perrin N, Fumagalli L. 2016. Massive genetic introgression in threatened northern crested newts (Triturus cristatus) by an invasive congener (T. carnifex) in Western Switzerland. </w:t>
      </w:r>
      <w:r w:rsidRPr="007E3576">
        <w:rPr>
          <w:i/>
          <w:iCs/>
          <w:noProof/>
          <w:szCs w:val="24"/>
          <w:lang w:val="en-GB"/>
        </w:rPr>
        <w:t>Conserv. Genet.</w:t>
      </w:r>
      <w:r w:rsidRPr="007E3576">
        <w:rPr>
          <w:noProof/>
          <w:szCs w:val="24"/>
          <w:lang w:val="en-GB"/>
        </w:rPr>
        <w:t xml:space="preserve"> 17(4):839–46</w:t>
      </w:r>
    </w:p>
    <w:p w14:paraId="4D9C0904"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Epperson BK, McRae BH, Scribner K, Cushman SA, Rosenberg MS, et al. 2010. Utility of computer simulations in landscape genetics. </w:t>
      </w:r>
      <w:r w:rsidRPr="007E3576">
        <w:rPr>
          <w:i/>
          <w:iCs/>
          <w:noProof/>
          <w:szCs w:val="24"/>
          <w:lang w:val="en-GB"/>
        </w:rPr>
        <w:t>Mol. Ecol.</w:t>
      </w:r>
      <w:r w:rsidRPr="007E3576">
        <w:rPr>
          <w:noProof/>
          <w:szCs w:val="24"/>
          <w:lang w:val="en-GB"/>
        </w:rPr>
        <w:t xml:space="preserve"> 19(17):3549–64</w:t>
      </w:r>
    </w:p>
    <w:p w14:paraId="7612CA7F"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Excoffier L, Dupanloup I, Huerta-Sánchez E, Sousa VC, Foll M. 2013. Robust Demographic Inference from Genomic and SNP Data. </w:t>
      </w:r>
      <w:r w:rsidRPr="007E3576">
        <w:rPr>
          <w:i/>
          <w:iCs/>
          <w:noProof/>
          <w:szCs w:val="24"/>
          <w:lang w:val="en-GB"/>
        </w:rPr>
        <w:t>PLoS Genet.</w:t>
      </w:r>
      <w:r w:rsidRPr="007E3576">
        <w:rPr>
          <w:noProof/>
          <w:szCs w:val="24"/>
          <w:lang w:val="en-GB"/>
        </w:rPr>
        <w:t xml:space="preserve"> 9(10):e1003905</w:t>
      </w:r>
    </w:p>
    <w:p w14:paraId="49EF677E"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Fenderson LE, Kovach AI, Llamas B. 2019. Spatiotemporal landscape genetics: Investigating </w:t>
      </w:r>
      <w:r w:rsidRPr="007E3576">
        <w:rPr>
          <w:noProof/>
          <w:szCs w:val="24"/>
          <w:lang w:val="en-GB"/>
        </w:rPr>
        <w:lastRenderedPageBreak/>
        <w:t xml:space="preserve">ecology and evolution through space and time. </w:t>
      </w:r>
      <w:r w:rsidRPr="007E3576">
        <w:rPr>
          <w:i/>
          <w:iCs/>
          <w:noProof/>
          <w:szCs w:val="24"/>
          <w:lang w:val="en-GB"/>
        </w:rPr>
        <w:t>Mol. Ecol.</w:t>
      </w:r>
      <w:r w:rsidRPr="007E3576">
        <w:rPr>
          <w:noProof/>
          <w:szCs w:val="24"/>
          <w:lang w:val="en-GB"/>
        </w:rPr>
        <w:t xml:space="preserve"> 29(2):218–46</w:t>
      </w:r>
    </w:p>
    <w:p w14:paraId="00622245" w14:textId="77777777" w:rsidR="00FF6757" w:rsidRPr="00606374" w:rsidRDefault="00FF6757" w:rsidP="00FF6757">
      <w:pPr>
        <w:widowControl w:val="0"/>
        <w:autoSpaceDE w:val="0"/>
        <w:autoSpaceDN w:val="0"/>
        <w:adjustRightInd w:val="0"/>
        <w:spacing w:before="0" w:after="0" w:line="240" w:lineRule="auto"/>
        <w:ind w:left="480" w:hanging="480"/>
        <w:rPr>
          <w:noProof/>
          <w:szCs w:val="24"/>
        </w:rPr>
      </w:pPr>
      <w:r w:rsidRPr="007E3576">
        <w:rPr>
          <w:noProof/>
          <w:szCs w:val="24"/>
          <w:lang w:val="en-GB"/>
        </w:rPr>
        <w:t xml:space="preserve">Fisher MC, Garner TWJ. 2020. Chytrid fungi and global amphibian declines. </w:t>
      </w:r>
      <w:r w:rsidRPr="00606374">
        <w:rPr>
          <w:i/>
          <w:iCs/>
          <w:noProof/>
          <w:szCs w:val="24"/>
        </w:rPr>
        <w:t>Nat. Rev. Microbiol.</w:t>
      </w:r>
      <w:r w:rsidRPr="00606374">
        <w:rPr>
          <w:noProof/>
          <w:szCs w:val="24"/>
        </w:rPr>
        <w:t xml:space="preserve"> 18(6):332–43</w:t>
      </w:r>
    </w:p>
    <w:p w14:paraId="4FC96E3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606374">
        <w:rPr>
          <w:noProof/>
          <w:szCs w:val="24"/>
        </w:rPr>
        <w:t xml:space="preserve">Frantz AC, Pourtois JT, Heuertz M, Schley L, Flamand MC, et al. 2006. </w:t>
      </w:r>
      <w:r w:rsidRPr="007E3576">
        <w:rPr>
          <w:noProof/>
          <w:szCs w:val="24"/>
          <w:lang w:val="en-GB"/>
        </w:rPr>
        <w:t xml:space="preserve">Genetic structure and assignment tests demonstrate illegal translocation of red deer (Cervus elaphus) into a continuous population. </w:t>
      </w:r>
      <w:r w:rsidRPr="007E3576">
        <w:rPr>
          <w:i/>
          <w:iCs/>
          <w:noProof/>
          <w:szCs w:val="24"/>
          <w:lang w:val="en-GB"/>
        </w:rPr>
        <w:t>Mol. Ecol.</w:t>
      </w:r>
      <w:r w:rsidRPr="007E3576">
        <w:rPr>
          <w:noProof/>
          <w:szCs w:val="24"/>
          <w:lang w:val="en-GB"/>
        </w:rPr>
        <w:t xml:space="preserve"> 15(11):3191–3203</w:t>
      </w:r>
    </w:p>
    <w:p w14:paraId="7D95C97C"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Frantz AC, Zachos FE, Bertouille S, Eloy MC, Colyn M, Flamand MC. 2017. Using genetic tools to estimate the prevalence of non-native red deer (Cervus elaphus) in a Western European population. </w:t>
      </w:r>
      <w:r w:rsidRPr="007E3576">
        <w:rPr>
          <w:i/>
          <w:iCs/>
          <w:noProof/>
          <w:szCs w:val="24"/>
          <w:lang w:val="en-GB"/>
        </w:rPr>
        <w:t>Ecol. Evol.</w:t>
      </w:r>
      <w:r w:rsidRPr="007E3576">
        <w:rPr>
          <w:noProof/>
          <w:szCs w:val="24"/>
          <w:lang w:val="en-GB"/>
        </w:rPr>
        <w:t xml:space="preserve"> 7(19):7650–60</w:t>
      </w:r>
    </w:p>
    <w:p w14:paraId="765F874A"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Gattepaille LM, Jakobsson M, Blum MGB. 2013. Inferring population size changes with sequence and SNP data: Lessons from human bottlenecks. </w:t>
      </w:r>
      <w:r w:rsidRPr="007E3576">
        <w:rPr>
          <w:i/>
          <w:iCs/>
          <w:noProof/>
          <w:szCs w:val="24"/>
          <w:lang w:val="en-GB"/>
        </w:rPr>
        <w:t>Heredity (Edinb).</w:t>
      </w:r>
      <w:r w:rsidRPr="007E3576">
        <w:rPr>
          <w:noProof/>
          <w:szCs w:val="24"/>
          <w:lang w:val="en-GB"/>
        </w:rPr>
        <w:t xml:space="preserve"> 110(5):409–19</w:t>
      </w:r>
    </w:p>
    <w:p w14:paraId="49D61BCA"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Gutenkunst RN, Hernandez RD, Williamson SH, Bustamante CD. 2009. Inferring the joint demographic history of multiple populations from multidimensional SNP frequency data. </w:t>
      </w:r>
      <w:r w:rsidRPr="007E3576">
        <w:rPr>
          <w:i/>
          <w:iCs/>
          <w:noProof/>
          <w:szCs w:val="24"/>
          <w:lang w:val="en-GB"/>
        </w:rPr>
        <w:t>PLoS Genet.</w:t>
      </w:r>
      <w:r w:rsidRPr="007E3576">
        <w:rPr>
          <w:noProof/>
          <w:szCs w:val="24"/>
          <w:lang w:val="en-GB"/>
        </w:rPr>
        <w:t xml:space="preserve"> 5(10):e1000695</w:t>
      </w:r>
    </w:p>
    <w:p w14:paraId="35F5029A"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Haller BC, Messer PW. 2019. SLiM 3: Forward Genetic Simulations Beyond the Wright-Fisher Model. </w:t>
      </w:r>
      <w:r w:rsidRPr="007E3576">
        <w:rPr>
          <w:i/>
          <w:iCs/>
          <w:noProof/>
          <w:szCs w:val="24"/>
          <w:lang w:val="en-GB"/>
        </w:rPr>
        <w:t>Mol. Biol. Evol.</w:t>
      </w:r>
      <w:r w:rsidRPr="007E3576">
        <w:rPr>
          <w:noProof/>
          <w:szCs w:val="24"/>
          <w:lang w:val="en-GB"/>
        </w:rPr>
        <w:t xml:space="preserve"> 36(3):632–37</w:t>
      </w:r>
    </w:p>
    <w:p w14:paraId="1371AF3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Harrisson KA, Pavlova A, Telonis-Scott M, Sunnucks P. 2014. Using genomics to characterize evolutionary potential for conservation of wild populations. </w:t>
      </w:r>
      <w:r w:rsidRPr="007E3576">
        <w:rPr>
          <w:i/>
          <w:iCs/>
          <w:noProof/>
          <w:szCs w:val="24"/>
          <w:lang w:val="en-GB"/>
        </w:rPr>
        <w:t>Evol. Appl.</w:t>
      </w:r>
      <w:r w:rsidRPr="007E3576">
        <w:rPr>
          <w:noProof/>
          <w:szCs w:val="24"/>
          <w:lang w:val="en-GB"/>
        </w:rPr>
        <w:t xml:space="preserve"> 7(9):1008–25</w:t>
      </w:r>
    </w:p>
    <w:p w14:paraId="0B5B2EE4"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Hobbie JE, Carpenter SR, Grimm NB, Gosz JR, Seastedt TR. 2003. The US Long Term Ecological Research program. </w:t>
      </w:r>
      <w:r w:rsidRPr="007E3576">
        <w:rPr>
          <w:i/>
          <w:iCs/>
          <w:noProof/>
          <w:szCs w:val="24"/>
          <w:lang w:val="en-GB"/>
        </w:rPr>
        <w:t>Bioscience</w:t>
      </w:r>
      <w:r w:rsidRPr="007E3576">
        <w:rPr>
          <w:noProof/>
          <w:szCs w:val="24"/>
          <w:lang w:val="en-GB"/>
        </w:rPr>
        <w:t>. 53(1):21–32</w:t>
      </w:r>
    </w:p>
    <w:p w14:paraId="4422A1DE"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Hubbell SP. 2011. </w:t>
      </w:r>
      <w:r w:rsidRPr="007E3576">
        <w:rPr>
          <w:i/>
          <w:iCs/>
          <w:noProof/>
          <w:szCs w:val="24"/>
          <w:lang w:val="en-GB"/>
        </w:rPr>
        <w:t>The Unified Neutral Theory of Biodiversity and Biogeography</w:t>
      </w:r>
      <w:r w:rsidRPr="007E3576">
        <w:rPr>
          <w:noProof/>
          <w:szCs w:val="24"/>
          <w:lang w:val="en-GB"/>
        </w:rPr>
        <w:t>. Princeton, NJ, USA: Princeton University Press</w:t>
      </w:r>
    </w:p>
    <w:p w14:paraId="7FA88E9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James PMA, Coltman DW, Murray BW, Hamelin RC, Sperling FAH. 2011. Spatial genetic structure of a symbiotic beetle-fungal system: Toward multi-taxa integrated landscape genetics. </w:t>
      </w:r>
      <w:r w:rsidRPr="007E3576">
        <w:rPr>
          <w:i/>
          <w:iCs/>
          <w:noProof/>
          <w:szCs w:val="24"/>
          <w:lang w:val="en-GB"/>
        </w:rPr>
        <w:t>PLoS One</w:t>
      </w:r>
      <w:r w:rsidRPr="007E3576">
        <w:rPr>
          <w:noProof/>
          <w:szCs w:val="24"/>
          <w:lang w:val="en-GB"/>
        </w:rPr>
        <w:t>. 6(10):e25359</w:t>
      </w:r>
    </w:p>
    <w:p w14:paraId="0073725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James PMA, Cooke BJ, Brunet BMT, Lumley LM, Sperling FAH, et al. 2015. Life-stage differences in spatial genetic structure in an irruptive forest insect: implications for dispersal and spatial synchrony. </w:t>
      </w:r>
      <w:r w:rsidRPr="007E3576">
        <w:rPr>
          <w:i/>
          <w:iCs/>
          <w:noProof/>
          <w:szCs w:val="24"/>
          <w:lang w:val="en-GB"/>
        </w:rPr>
        <w:t>Mol. Ecol.</w:t>
      </w:r>
      <w:r w:rsidRPr="007E3576">
        <w:rPr>
          <w:noProof/>
          <w:szCs w:val="24"/>
          <w:lang w:val="en-GB"/>
        </w:rPr>
        <w:t xml:space="preserve"> 24(2):296–309</w:t>
      </w:r>
    </w:p>
    <w:p w14:paraId="67F5C5F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James PMA, Fleming R a., Fortin M-J. 2010. Identifying significant scale-specific spatial boundaries using wavelets and null models: Spruce budworm defoliation in Ontario, Canada as a case study. </w:t>
      </w:r>
      <w:r w:rsidRPr="007E3576">
        <w:rPr>
          <w:i/>
          <w:iCs/>
          <w:noProof/>
          <w:szCs w:val="24"/>
          <w:lang w:val="en-GB"/>
        </w:rPr>
        <w:t>Landsc. Ecol.</w:t>
      </w:r>
      <w:r w:rsidRPr="007E3576">
        <w:rPr>
          <w:noProof/>
          <w:szCs w:val="24"/>
          <w:lang w:val="en-GB"/>
        </w:rPr>
        <w:t xml:space="preserve"> 25:873–87</w:t>
      </w:r>
    </w:p>
    <w:p w14:paraId="5AB8C9E8"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Jay F, Manel S, Alvarez N, Durand EY, Thuiller W, et al. 2012. Forecasting changes in population genetic structure of alpine plants in response to global warming. </w:t>
      </w:r>
      <w:r w:rsidRPr="007E3576">
        <w:rPr>
          <w:i/>
          <w:iCs/>
          <w:noProof/>
          <w:szCs w:val="24"/>
          <w:lang w:val="en-GB"/>
        </w:rPr>
        <w:t>Mol. Ecol.</w:t>
      </w:r>
      <w:r w:rsidRPr="007E3576">
        <w:rPr>
          <w:noProof/>
          <w:szCs w:val="24"/>
          <w:lang w:val="en-GB"/>
        </w:rPr>
        <w:t xml:space="preserve"> 21(10):2354–68</w:t>
      </w:r>
    </w:p>
    <w:p w14:paraId="7E26B686"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Jombart T. 2008. Adegenet: A R package for the multivariate analysis of genetic markers. </w:t>
      </w:r>
      <w:r w:rsidRPr="007E3576">
        <w:rPr>
          <w:i/>
          <w:iCs/>
          <w:noProof/>
          <w:szCs w:val="24"/>
          <w:lang w:val="en-GB"/>
        </w:rPr>
        <w:t>Bioinformatics</w:t>
      </w:r>
      <w:r w:rsidRPr="007E3576">
        <w:rPr>
          <w:noProof/>
          <w:szCs w:val="24"/>
          <w:lang w:val="en-GB"/>
        </w:rPr>
        <w:t>. 24(11):1403–5</w:t>
      </w:r>
    </w:p>
    <w:p w14:paraId="2E352C71"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Jombart T, Ahmed I. 2011. adegenet 1.3-1: New tools for the analysis of genome-wide SNP data. </w:t>
      </w:r>
      <w:r w:rsidRPr="007E3576">
        <w:rPr>
          <w:i/>
          <w:iCs/>
          <w:noProof/>
          <w:szCs w:val="24"/>
          <w:lang w:val="en-GB"/>
        </w:rPr>
        <w:t>Bioinformatics</w:t>
      </w:r>
      <w:r w:rsidRPr="007E3576">
        <w:rPr>
          <w:noProof/>
          <w:szCs w:val="24"/>
          <w:lang w:val="en-GB"/>
        </w:rPr>
        <w:t>. 27(21):3070–71</w:t>
      </w:r>
    </w:p>
    <w:p w14:paraId="48F6A4F8"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Kamm J, Terhorst J, Durbin R, Song YS. 2020. Efficiently Inferring the Demographic History of Many Populations With Allele Count Data. </w:t>
      </w:r>
      <w:r w:rsidRPr="007E3576">
        <w:rPr>
          <w:i/>
          <w:iCs/>
          <w:noProof/>
          <w:szCs w:val="24"/>
          <w:lang w:val="en-GB"/>
        </w:rPr>
        <w:t>J. Am. Stat. Assoc.</w:t>
      </w:r>
      <w:r w:rsidRPr="007E3576">
        <w:rPr>
          <w:noProof/>
          <w:szCs w:val="24"/>
          <w:lang w:val="en-GB"/>
        </w:rPr>
        <w:t xml:space="preserve"> 115(531):1472–87</w:t>
      </w:r>
    </w:p>
    <w:p w14:paraId="3923A798"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Kamvar ZN, Brooks JC, Grünwald NJ. 2015. Novel R tools for analysis of genome-wide population genetic data with emphasis on clonality. </w:t>
      </w:r>
      <w:r w:rsidRPr="007E3576">
        <w:rPr>
          <w:i/>
          <w:iCs/>
          <w:noProof/>
          <w:szCs w:val="24"/>
          <w:lang w:val="en-GB"/>
        </w:rPr>
        <w:t>Front. Genet.</w:t>
      </w:r>
      <w:r w:rsidRPr="007E3576">
        <w:rPr>
          <w:noProof/>
          <w:szCs w:val="24"/>
          <w:lang w:val="en-GB"/>
        </w:rPr>
        <w:t xml:space="preserve"> 6:208</w:t>
      </w:r>
    </w:p>
    <w:p w14:paraId="27E14278"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Kamvar ZN, Tabima JF, Gr̈unwald NJ. 2014. Poppr: An R package for genetic analysis of populations with clonal, partially clonal, and/or sexual reproduction. </w:t>
      </w:r>
      <w:r w:rsidRPr="007E3576">
        <w:rPr>
          <w:i/>
          <w:iCs/>
          <w:noProof/>
          <w:szCs w:val="24"/>
          <w:lang w:val="en-GB"/>
        </w:rPr>
        <w:t>PeerJ</w:t>
      </w:r>
      <w:r w:rsidRPr="007E3576">
        <w:rPr>
          <w:noProof/>
          <w:szCs w:val="24"/>
          <w:lang w:val="en-GB"/>
        </w:rPr>
        <w:t>. 2014(1):1–14</w:t>
      </w:r>
    </w:p>
    <w:p w14:paraId="07BFBDAE"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Kinziger AP, Hellmair M, McCraney WT, Jacobs DK, Goldsmith G. 2015. Temporal genetic </w:t>
      </w:r>
      <w:r w:rsidRPr="007E3576">
        <w:rPr>
          <w:noProof/>
          <w:szCs w:val="24"/>
          <w:lang w:val="en-GB"/>
        </w:rPr>
        <w:lastRenderedPageBreak/>
        <w:t xml:space="preserve">analysis of the endangered tidewater goby: Extinction-colonization dynamics or drift in isolation? </w:t>
      </w:r>
      <w:r w:rsidRPr="007E3576">
        <w:rPr>
          <w:i/>
          <w:iCs/>
          <w:noProof/>
          <w:szCs w:val="24"/>
          <w:lang w:val="en-GB"/>
        </w:rPr>
        <w:t>Mol. Ecol.</w:t>
      </w:r>
      <w:r w:rsidRPr="007E3576">
        <w:rPr>
          <w:noProof/>
          <w:szCs w:val="24"/>
          <w:lang w:val="en-GB"/>
        </w:rPr>
        <w:t xml:space="preserve"> 24(22):5544–60</w:t>
      </w:r>
    </w:p>
    <w:p w14:paraId="61DC65A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Knapp AK, Smith MD, Hobbie SE, Collins SL, Fahey TJ, et al. 2012. Past, present, and future roles of long-term experiments in the LTER network. </w:t>
      </w:r>
      <w:r w:rsidRPr="007E3576">
        <w:rPr>
          <w:i/>
          <w:iCs/>
          <w:noProof/>
          <w:szCs w:val="24"/>
          <w:lang w:val="en-GB"/>
        </w:rPr>
        <w:t>Bioscience</w:t>
      </w:r>
      <w:r w:rsidRPr="007E3576">
        <w:rPr>
          <w:noProof/>
          <w:szCs w:val="24"/>
          <w:lang w:val="en-GB"/>
        </w:rPr>
        <w:t>. 62(4):377–89</w:t>
      </w:r>
    </w:p>
    <w:p w14:paraId="5F3455F0"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Knight NL, Vaghefi N, Hansen ZR, Kikkert JR, Pethybridge SJ. 2018. Temporal Genetic Differentiation of Cercospora beticola Populations in New York Table Beet Fields. </w:t>
      </w:r>
      <w:r w:rsidRPr="007E3576">
        <w:rPr>
          <w:i/>
          <w:iCs/>
          <w:noProof/>
          <w:szCs w:val="24"/>
          <w:lang w:val="en-GB"/>
        </w:rPr>
        <w:t>Plant Dis.</w:t>
      </w:r>
      <w:r w:rsidRPr="007E3576">
        <w:rPr>
          <w:noProof/>
          <w:szCs w:val="24"/>
          <w:lang w:val="en-GB"/>
        </w:rPr>
        <w:t xml:space="preserve"> 102(11):2074–82</w:t>
      </w:r>
    </w:p>
    <w:p w14:paraId="75D1C0B6"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Kool JT, Moilanen A, Treml EA. 2013. Population connectivity: Recent advances and new perspectives. </w:t>
      </w:r>
      <w:r w:rsidRPr="007E3576">
        <w:rPr>
          <w:i/>
          <w:iCs/>
          <w:noProof/>
          <w:szCs w:val="24"/>
          <w:lang w:val="en-GB"/>
        </w:rPr>
        <w:t>Landsc. Ecol.</w:t>
      </w:r>
      <w:r w:rsidRPr="007E3576">
        <w:rPr>
          <w:noProof/>
          <w:szCs w:val="24"/>
          <w:lang w:val="en-GB"/>
        </w:rPr>
        <w:t xml:space="preserve"> 28(2):165–85</w:t>
      </w:r>
    </w:p>
    <w:p w14:paraId="0ADAEEDF"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Kremer A, Ronce O, Robledo-Arnuncio JJ, Guillaume F, Bohrer G, et al. 2012. Long-distance gene flow and adaptation of forest trees to rapid climate change. </w:t>
      </w:r>
      <w:r w:rsidRPr="007E3576">
        <w:rPr>
          <w:i/>
          <w:iCs/>
          <w:noProof/>
          <w:szCs w:val="24"/>
          <w:lang w:val="en-GB"/>
        </w:rPr>
        <w:t>Ecol. Lett.</w:t>
      </w:r>
      <w:r w:rsidRPr="007E3576">
        <w:rPr>
          <w:noProof/>
          <w:szCs w:val="24"/>
          <w:lang w:val="en-GB"/>
        </w:rPr>
        <w:t xml:space="preserve"> 15(4):378–92</w:t>
      </w:r>
    </w:p>
    <w:p w14:paraId="0C0A9218"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Kuemmerlen M, Stoll S, Sundermann A, Haase P. 2016. Long-term monitoring data meet freshwater species distribution models: Lessons from an LTER-site. </w:t>
      </w:r>
      <w:r w:rsidRPr="007E3576">
        <w:rPr>
          <w:i/>
          <w:iCs/>
          <w:noProof/>
          <w:szCs w:val="24"/>
          <w:lang w:val="en-GB"/>
        </w:rPr>
        <w:t>Ecol. Indic.</w:t>
      </w:r>
      <w:r w:rsidRPr="007E3576">
        <w:rPr>
          <w:noProof/>
          <w:szCs w:val="24"/>
          <w:lang w:val="en-GB"/>
        </w:rPr>
        <w:t xml:space="preserve"> 65:122–32</w:t>
      </w:r>
    </w:p>
    <w:p w14:paraId="0C93553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Landguth EL, Bearlin A, Day CC, Dunham J. 2017a. CDMetaPOP: an individual-based, eco-evolutionary model for spatially explicit simulation of landscape demogenetics. </w:t>
      </w:r>
      <w:r w:rsidRPr="007E3576">
        <w:rPr>
          <w:i/>
          <w:iCs/>
          <w:noProof/>
          <w:szCs w:val="24"/>
          <w:lang w:val="en-GB"/>
        </w:rPr>
        <w:t>Methods Ecol. Evol.</w:t>
      </w:r>
      <w:r w:rsidRPr="007E3576">
        <w:rPr>
          <w:noProof/>
          <w:szCs w:val="24"/>
          <w:lang w:val="en-GB"/>
        </w:rPr>
        <w:t xml:space="preserve"> 8(1):4–11</w:t>
      </w:r>
    </w:p>
    <w:p w14:paraId="0B392F8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Landguth EL, Holden ZA, Mahalovich MF, Cushman SA. 2017b. Using landscape genetics simulations for planting blister rust resistant whitebark pine in the US Northern Rocky Mountains. </w:t>
      </w:r>
      <w:r w:rsidRPr="007E3576">
        <w:rPr>
          <w:i/>
          <w:iCs/>
          <w:noProof/>
          <w:szCs w:val="24"/>
          <w:lang w:val="en-GB"/>
        </w:rPr>
        <w:t>Front. Genet.</w:t>
      </w:r>
      <w:r w:rsidRPr="007E3576">
        <w:rPr>
          <w:noProof/>
          <w:szCs w:val="24"/>
          <w:lang w:val="en-GB"/>
        </w:rPr>
        <w:t xml:space="preserve"> 8:9</w:t>
      </w:r>
    </w:p>
    <w:p w14:paraId="2BE0C38E"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Larroque J, Legault S, Johns R, Lumley L, Cusson M, et al. 2019. Temporal variation in spatial genetic structure during population outbreaks: Distinguishing among different potential drivers of spatial synchrony. </w:t>
      </w:r>
      <w:r w:rsidRPr="007E3576">
        <w:rPr>
          <w:i/>
          <w:iCs/>
          <w:noProof/>
          <w:szCs w:val="24"/>
          <w:lang w:val="en-GB"/>
        </w:rPr>
        <w:t>Evol. Appl.</w:t>
      </w:r>
      <w:r w:rsidRPr="007E3576">
        <w:rPr>
          <w:noProof/>
          <w:szCs w:val="24"/>
          <w:lang w:val="en-GB"/>
        </w:rPr>
        <w:t xml:space="preserve"> 12(10):1931–45</w:t>
      </w:r>
    </w:p>
    <w:p w14:paraId="68BAE7F0"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Lauterjung MB, Montagna T, Bernardi AP, da Silva JZ, da Costa NCF, et al. 2019. Temporal changes in population genetics of six threatened Brazilian plant species in a fragmented landscape. </w:t>
      </w:r>
      <w:r w:rsidRPr="007E3576">
        <w:rPr>
          <w:i/>
          <w:iCs/>
          <w:noProof/>
          <w:szCs w:val="24"/>
          <w:lang w:val="en-GB"/>
        </w:rPr>
        <w:t>For. Ecol. Manage.</w:t>
      </w:r>
      <w:r w:rsidRPr="007E3576">
        <w:rPr>
          <w:noProof/>
          <w:szCs w:val="24"/>
          <w:lang w:val="en-GB"/>
        </w:rPr>
        <w:t xml:space="preserve"> 435:144–50</w:t>
      </w:r>
    </w:p>
    <w:p w14:paraId="6560DBB8"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Lawson Handley LJ, Estoup A, Evans DM, Thomas CE, Lombaert E, et al. 2011. Ecological genetics of invasive alien species. </w:t>
      </w:r>
      <w:r w:rsidRPr="007E3576">
        <w:rPr>
          <w:i/>
          <w:iCs/>
          <w:noProof/>
          <w:szCs w:val="24"/>
          <w:lang w:val="en-GB"/>
        </w:rPr>
        <w:t>BioControl</w:t>
      </w:r>
      <w:r w:rsidRPr="007E3576">
        <w:rPr>
          <w:noProof/>
          <w:szCs w:val="24"/>
          <w:lang w:val="en-GB"/>
        </w:rPr>
        <w:t>. 56(4):409–28</w:t>
      </w:r>
    </w:p>
    <w:p w14:paraId="4FDA1382"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Leblois R, Pudlo P, Néron J, Bertaux F, Reddy Beeravolu C, et al. 2014. Maximum-likelihood inference of population size contractions from microsatellite data. </w:t>
      </w:r>
      <w:r w:rsidRPr="007E3576">
        <w:rPr>
          <w:i/>
          <w:iCs/>
          <w:noProof/>
          <w:szCs w:val="24"/>
          <w:lang w:val="en-GB"/>
        </w:rPr>
        <w:t>Mol. Biol. Evol.</w:t>
      </w:r>
      <w:r w:rsidRPr="007E3576">
        <w:rPr>
          <w:noProof/>
          <w:szCs w:val="24"/>
          <w:lang w:val="en-GB"/>
        </w:rPr>
        <w:t xml:space="preserve"> 31(10):2805–23</w:t>
      </w:r>
    </w:p>
    <w:p w14:paraId="7C2B511E"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Legendre P. 2019. A temporal beta-diversity index to identify sites that have changed in exceptional ways in space–time surveys. </w:t>
      </w:r>
      <w:r w:rsidRPr="007E3576">
        <w:rPr>
          <w:i/>
          <w:iCs/>
          <w:noProof/>
          <w:szCs w:val="24"/>
          <w:lang w:val="en-GB"/>
        </w:rPr>
        <w:t>Ecol. Evol.</w:t>
      </w:r>
      <w:r w:rsidRPr="007E3576">
        <w:rPr>
          <w:noProof/>
          <w:szCs w:val="24"/>
          <w:lang w:val="en-GB"/>
        </w:rPr>
        <w:t xml:space="preserve"> 9(6):3500–3514</w:t>
      </w:r>
    </w:p>
    <w:p w14:paraId="24D3E582"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Legendre P, De Cáceres M. 2013. Beta diversity as the variance of community data: Dissimilarity coefficients and partitioning. </w:t>
      </w:r>
      <w:r w:rsidRPr="007E3576">
        <w:rPr>
          <w:i/>
          <w:iCs/>
          <w:noProof/>
          <w:szCs w:val="24"/>
          <w:lang w:val="en-GB"/>
        </w:rPr>
        <w:t>Ecol. Lett.</w:t>
      </w:r>
      <w:r w:rsidRPr="007E3576">
        <w:rPr>
          <w:noProof/>
          <w:szCs w:val="24"/>
          <w:lang w:val="en-GB"/>
        </w:rPr>
        <w:t xml:space="preserve"> 16(8):951–63</w:t>
      </w:r>
    </w:p>
    <w:p w14:paraId="70187E92"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Legendre P, Legendre L. 2012. </w:t>
      </w:r>
      <w:r w:rsidRPr="007E3576">
        <w:rPr>
          <w:i/>
          <w:iCs/>
          <w:noProof/>
          <w:szCs w:val="24"/>
          <w:lang w:val="en-GB"/>
        </w:rPr>
        <w:t>Numerical Ecology</w:t>
      </w:r>
      <w:r w:rsidRPr="007E3576">
        <w:rPr>
          <w:noProof/>
          <w:szCs w:val="24"/>
          <w:lang w:val="en-GB"/>
        </w:rPr>
        <w:t>. Amsterdam, Netherlands: Elsevier. 3rd Englis ed.</w:t>
      </w:r>
    </w:p>
    <w:p w14:paraId="76BC98C7"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Leigh DM, Hendry AP, Vázquez-Domínguez E, Friesen VL. 2019. Estimated six per cent loss of genetic variation in wild populations since the industrial revolution. </w:t>
      </w:r>
      <w:r w:rsidRPr="007E3576">
        <w:rPr>
          <w:i/>
          <w:iCs/>
          <w:noProof/>
          <w:szCs w:val="24"/>
          <w:lang w:val="en-GB"/>
        </w:rPr>
        <w:t>Evol. Appl.</w:t>
      </w:r>
      <w:r w:rsidRPr="007E3576">
        <w:rPr>
          <w:noProof/>
          <w:szCs w:val="24"/>
          <w:lang w:val="en-GB"/>
        </w:rPr>
        <w:t xml:space="preserve"> 12(8):1505–12</w:t>
      </w:r>
    </w:p>
    <w:p w14:paraId="3C3E004E"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Mack RN, Simberloff D, Lonsdale WM, Evans H, Clout M, Bazzaz F a. 2000. Biotic invasions: Causes, epidemiology, global consequences, and control. </w:t>
      </w:r>
      <w:r w:rsidRPr="007E3576">
        <w:rPr>
          <w:i/>
          <w:iCs/>
          <w:noProof/>
          <w:szCs w:val="24"/>
          <w:lang w:val="en-GB"/>
        </w:rPr>
        <w:t>Ecol. Appl.</w:t>
      </w:r>
      <w:r w:rsidRPr="007E3576">
        <w:rPr>
          <w:noProof/>
          <w:szCs w:val="24"/>
          <w:lang w:val="en-GB"/>
        </w:rPr>
        <w:t xml:space="preserve"> 10(3):689–710</w:t>
      </w:r>
    </w:p>
    <w:p w14:paraId="319E8D7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Marth GT, Czabarka E, Murvai J, Sherry ST. 2004. The Allele Frequency Spectrum in Genome-Wide Human Variation Data Reveals Signals of Differential Demographic History in Three Large World Populations. </w:t>
      </w:r>
      <w:r w:rsidRPr="007E3576">
        <w:rPr>
          <w:i/>
          <w:iCs/>
          <w:noProof/>
          <w:szCs w:val="24"/>
          <w:lang w:val="en-GB"/>
        </w:rPr>
        <w:t>Genetics</w:t>
      </w:r>
      <w:r w:rsidRPr="007E3576">
        <w:rPr>
          <w:noProof/>
          <w:szCs w:val="24"/>
          <w:lang w:val="en-GB"/>
        </w:rPr>
        <w:t>. 166(1):351–72</w:t>
      </w:r>
    </w:p>
    <w:p w14:paraId="2AA62C55" w14:textId="77777777" w:rsidR="00FF6757" w:rsidRPr="00606374" w:rsidRDefault="00FF6757" w:rsidP="00FF6757">
      <w:pPr>
        <w:widowControl w:val="0"/>
        <w:autoSpaceDE w:val="0"/>
        <w:autoSpaceDN w:val="0"/>
        <w:adjustRightInd w:val="0"/>
        <w:spacing w:before="0" w:after="0" w:line="240" w:lineRule="auto"/>
        <w:ind w:left="480" w:hanging="480"/>
        <w:rPr>
          <w:noProof/>
          <w:szCs w:val="24"/>
        </w:rPr>
      </w:pPr>
      <w:r w:rsidRPr="007E3576">
        <w:rPr>
          <w:noProof/>
          <w:szCs w:val="24"/>
          <w:lang w:val="en-GB"/>
        </w:rPr>
        <w:t xml:space="preserve">Maruyama T, Fuerstt PA. 1985. Population bottlenecks and nonequilibrium models in opulation genetics. II. Number of alleles in a small population that was formed by a </w:t>
      </w:r>
      <w:r w:rsidRPr="007E3576">
        <w:rPr>
          <w:noProof/>
          <w:szCs w:val="24"/>
          <w:lang w:val="en-GB"/>
        </w:rPr>
        <w:lastRenderedPageBreak/>
        <w:t xml:space="preserve">recent bottleneck. </w:t>
      </w:r>
      <w:r w:rsidRPr="00606374">
        <w:rPr>
          <w:i/>
          <w:iCs/>
          <w:noProof/>
          <w:szCs w:val="24"/>
        </w:rPr>
        <w:t>Genetics</w:t>
      </w:r>
      <w:r w:rsidRPr="00606374">
        <w:rPr>
          <w:noProof/>
          <w:szCs w:val="24"/>
        </w:rPr>
        <w:t>. 111(3):675–89</w:t>
      </w:r>
    </w:p>
    <w:p w14:paraId="43FF766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606374">
        <w:rPr>
          <w:noProof/>
          <w:szCs w:val="24"/>
        </w:rPr>
        <w:t xml:space="preserve">Masson-Delmotte V, Zhai P, Pirani A, Connors LS, Péan C, et al. 2021. </w:t>
      </w:r>
      <w:r w:rsidRPr="007E3576">
        <w:rPr>
          <w:noProof/>
          <w:szCs w:val="24"/>
          <w:lang w:val="en-GB"/>
        </w:rPr>
        <w:t>Climate Change 2021: The Physical Science Basis. Contribution of Working Group I to the Sixth Assessment Report of the Intergovernmental Panel on Climate Change. Cambridge University Press</w:t>
      </w:r>
    </w:p>
    <w:p w14:paraId="3A6DDF67"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Maynard AJ, Ambrose L, Cooper RD, Chow WK, Davis JB, et al. 2017. Tiger on the prowl: Invasion history and spatio-temporal genetic structure of the Asian tiger mosquito Aedes albopictus (Skuse 1894) in the Indo-Pacific. </w:t>
      </w:r>
      <w:r w:rsidRPr="007E3576">
        <w:rPr>
          <w:i/>
          <w:iCs/>
          <w:noProof/>
          <w:szCs w:val="24"/>
          <w:lang w:val="en-GB"/>
        </w:rPr>
        <w:t>PLoS Negl. Trop. Dis.</w:t>
      </w:r>
      <w:r w:rsidRPr="007E3576">
        <w:rPr>
          <w:noProof/>
          <w:szCs w:val="24"/>
          <w:lang w:val="en-GB"/>
        </w:rPr>
        <w:t xml:space="preserve"> 11(4):1–27</w:t>
      </w:r>
    </w:p>
    <w:p w14:paraId="24203CAD"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Mayrand P, Filotas E, Wittische J, James PMA. 2019. The role of dispersal, selection, and timing of sampling on the false discovery rate of loci under selection during geographic range expansion. </w:t>
      </w:r>
      <w:r w:rsidRPr="007E3576">
        <w:rPr>
          <w:i/>
          <w:iCs/>
          <w:noProof/>
          <w:szCs w:val="24"/>
          <w:lang w:val="en-GB"/>
        </w:rPr>
        <w:t>Genome</w:t>
      </w:r>
      <w:r w:rsidRPr="007E3576">
        <w:rPr>
          <w:noProof/>
          <w:szCs w:val="24"/>
          <w:lang w:val="en-GB"/>
        </w:rPr>
        <w:t>. 62(11):715–27</w:t>
      </w:r>
    </w:p>
    <w:p w14:paraId="03C46C8D"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McRae BH. 2006. Isolation By Resistance. </w:t>
      </w:r>
      <w:r w:rsidRPr="007E3576">
        <w:rPr>
          <w:i/>
          <w:iCs/>
          <w:noProof/>
          <w:szCs w:val="24"/>
          <w:lang w:val="en-GB"/>
        </w:rPr>
        <w:t>Evolution.</w:t>
      </w:r>
      <w:r w:rsidRPr="007E3576">
        <w:rPr>
          <w:noProof/>
          <w:szCs w:val="24"/>
          <w:lang w:val="en-GB"/>
        </w:rPr>
        <w:t xml:space="preserve"> 60(8):1551–61</w:t>
      </w:r>
    </w:p>
    <w:p w14:paraId="21851D70"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Merckx B, Steyaert M, Vanreusel A, Vincx M, Vanaverbeke J. 2011. Null models reveal preferential sampling, spatial autocorrelation and overfitting in habitat suitability modelling. </w:t>
      </w:r>
      <w:r w:rsidRPr="007E3576">
        <w:rPr>
          <w:i/>
          <w:iCs/>
          <w:noProof/>
          <w:szCs w:val="24"/>
          <w:lang w:val="en-GB"/>
        </w:rPr>
        <w:t>Ecol. Modell.</w:t>
      </w:r>
      <w:r w:rsidRPr="007E3576">
        <w:rPr>
          <w:noProof/>
          <w:szCs w:val="24"/>
          <w:lang w:val="en-GB"/>
        </w:rPr>
        <w:t xml:space="preserve"> 222(3):588–97</w:t>
      </w:r>
    </w:p>
    <w:p w14:paraId="0AC71EB8"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Moilanen A, Wilson K, Possingham H. 2009. </w:t>
      </w:r>
      <w:r w:rsidRPr="007E3576">
        <w:rPr>
          <w:i/>
          <w:iCs/>
          <w:noProof/>
          <w:szCs w:val="24"/>
          <w:lang w:val="en-GB"/>
        </w:rPr>
        <w:t>Spatial Conservation Prioritization: Quantitative Methods and Computational Tools</w:t>
      </w:r>
      <w:r w:rsidRPr="007E3576">
        <w:rPr>
          <w:noProof/>
          <w:szCs w:val="24"/>
          <w:lang w:val="en-GB"/>
        </w:rPr>
        <w:t>. Oxford, United Kingdom: Oxford University Press</w:t>
      </w:r>
    </w:p>
    <w:p w14:paraId="13F221D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Moraes AM, Ruiz-Miranda CR, Ribeiro MC, Grativol AD, da S. Carvalho C, et al. 2017. Temporal genetic dynamics of reintroduced and translocated populations of the endangered golden lion tamarin (Leontopithecus rosalia). </w:t>
      </w:r>
      <w:r w:rsidRPr="007E3576">
        <w:rPr>
          <w:i/>
          <w:iCs/>
          <w:noProof/>
          <w:szCs w:val="24"/>
          <w:lang w:val="en-GB"/>
        </w:rPr>
        <w:t>Conserv. Genet.</w:t>
      </w:r>
      <w:r w:rsidRPr="007E3576">
        <w:rPr>
          <w:noProof/>
          <w:szCs w:val="24"/>
          <w:lang w:val="en-GB"/>
        </w:rPr>
        <w:t xml:space="preserve"> 18(5):995–1009</w:t>
      </w:r>
    </w:p>
    <w:p w14:paraId="4B08A991"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Murray GGR, Wang F, Harrison EM, Paterson GK, Mather AE, et al. 2016. The effect of genetic structure on molecular dating and tests for temporal signal. </w:t>
      </w:r>
      <w:r w:rsidRPr="007E3576">
        <w:rPr>
          <w:i/>
          <w:iCs/>
          <w:noProof/>
          <w:szCs w:val="24"/>
          <w:lang w:val="en-GB"/>
        </w:rPr>
        <w:t>Methods Ecol. Evol.</w:t>
      </w:r>
      <w:r w:rsidRPr="007E3576">
        <w:rPr>
          <w:noProof/>
          <w:szCs w:val="24"/>
          <w:lang w:val="en-GB"/>
        </w:rPr>
        <w:t xml:space="preserve"> 7(1):80–89</w:t>
      </w:r>
    </w:p>
    <w:p w14:paraId="265DFA91"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Paradis E. 2010. Pegas: An R package for population genetics with an integrated-modular approach. </w:t>
      </w:r>
      <w:r w:rsidRPr="007E3576">
        <w:rPr>
          <w:i/>
          <w:iCs/>
          <w:noProof/>
          <w:szCs w:val="24"/>
          <w:lang w:val="en-GB"/>
        </w:rPr>
        <w:t>Bioinformatics</w:t>
      </w:r>
      <w:r w:rsidRPr="007E3576">
        <w:rPr>
          <w:noProof/>
          <w:szCs w:val="24"/>
          <w:lang w:val="en-GB"/>
        </w:rPr>
        <w:t>. 26(3):419–20</w:t>
      </w:r>
    </w:p>
    <w:p w14:paraId="7E624CD0" w14:textId="77777777" w:rsidR="00FF6757" w:rsidRPr="00606374" w:rsidRDefault="00FF6757" w:rsidP="00FF6757">
      <w:pPr>
        <w:widowControl w:val="0"/>
        <w:autoSpaceDE w:val="0"/>
        <w:autoSpaceDN w:val="0"/>
        <w:adjustRightInd w:val="0"/>
        <w:spacing w:before="0" w:after="0" w:line="240" w:lineRule="auto"/>
        <w:ind w:left="480" w:hanging="480"/>
        <w:rPr>
          <w:noProof/>
          <w:szCs w:val="24"/>
        </w:rPr>
      </w:pPr>
      <w:r w:rsidRPr="007E3576">
        <w:rPr>
          <w:noProof/>
          <w:szCs w:val="24"/>
          <w:lang w:val="en-GB"/>
        </w:rPr>
        <w:t xml:space="preserve">Pereira P, Teixeira J, Velo-Antón G. 2018. Allele surfing shaped the genetic structure of the European pond turtle via colonization and population expansion across the Iberian Peninsula from Africa. </w:t>
      </w:r>
      <w:r w:rsidRPr="00606374">
        <w:rPr>
          <w:i/>
          <w:iCs/>
          <w:noProof/>
          <w:szCs w:val="24"/>
        </w:rPr>
        <w:t>J. Biogeogr.</w:t>
      </w:r>
      <w:r w:rsidRPr="00606374">
        <w:rPr>
          <w:noProof/>
          <w:szCs w:val="24"/>
        </w:rPr>
        <w:t xml:space="preserve"> 45(9):2202–15</w:t>
      </w:r>
    </w:p>
    <w:p w14:paraId="1C29B3FC"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606374">
        <w:rPr>
          <w:noProof/>
          <w:szCs w:val="24"/>
        </w:rPr>
        <w:t xml:space="preserve">Pérez-Portela R, Wangensteen OS, Garcia-Cisneros A, Valero-Jiménez C, Palacín C, Turon X. 2019. </w:t>
      </w:r>
      <w:r w:rsidRPr="007E3576">
        <w:rPr>
          <w:noProof/>
          <w:szCs w:val="24"/>
          <w:lang w:val="en-GB"/>
        </w:rPr>
        <w:t xml:space="preserve">Spatio-temporal patterns of genetic variation in Arbacia lixula, a thermophilous sea urchin in expansion in the Mediterranean. </w:t>
      </w:r>
      <w:r w:rsidRPr="007E3576">
        <w:rPr>
          <w:i/>
          <w:iCs/>
          <w:noProof/>
          <w:szCs w:val="24"/>
          <w:lang w:val="en-GB"/>
        </w:rPr>
        <w:t>Heredity.</w:t>
      </w:r>
      <w:r w:rsidRPr="007E3576">
        <w:rPr>
          <w:noProof/>
          <w:szCs w:val="24"/>
          <w:lang w:val="en-GB"/>
        </w:rPr>
        <w:t xml:space="preserve"> 122(2):244–59</w:t>
      </w:r>
    </w:p>
    <w:p w14:paraId="06EA9E1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Poff NLR, Larson EI, Salerno PE, Morton SG, Kondratieff BC, et al. 2018. Extreme streams: species persistence and genomic change in montane insect populations across a flooding gradient. </w:t>
      </w:r>
      <w:r w:rsidRPr="007E3576">
        <w:rPr>
          <w:i/>
          <w:iCs/>
          <w:noProof/>
          <w:szCs w:val="24"/>
          <w:lang w:val="en-GB"/>
        </w:rPr>
        <w:t>Ecol. Lett.</w:t>
      </w:r>
      <w:r w:rsidRPr="007E3576">
        <w:rPr>
          <w:noProof/>
          <w:szCs w:val="24"/>
          <w:lang w:val="en-GB"/>
        </w:rPr>
        <w:t xml:space="preserve"> 21(4):525–35</w:t>
      </w:r>
    </w:p>
    <w:p w14:paraId="71BFC67F"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Qian H. 2009. Beta diversity in relation to dispersal ability for vascular plants in North America. </w:t>
      </w:r>
      <w:r w:rsidRPr="007E3576">
        <w:rPr>
          <w:i/>
          <w:iCs/>
          <w:noProof/>
          <w:szCs w:val="24"/>
          <w:lang w:val="en-GB"/>
        </w:rPr>
        <w:t>Glob. Ecol. Biogeogr.</w:t>
      </w:r>
      <w:r w:rsidRPr="007E3576">
        <w:rPr>
          <w:noProof/>
          <w:szCs w:val="24"/>
          <w:lang w:val="en-GB"/>
        </w:rPr>
        <w:t xml:space="preserve"> 18(3):327–32</w:t>
      </w:r>
    </w:p>
    <w:p w14:paraId="652EF6C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R Core Team. 2019. R: A language and environment for statistical computing</w:t>
      </w:r>
    </w:p>
    <w:p w14:paraId="55BE7893"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Robledo-Arnuncio JJ, Rousset F. 2010. Isolation by distance in a continuous population under stochastic demographic fluctuations. </w:t>
      </w:r>
      <w:r w:rsidRPr="007E3576">
        <w:rPr>
          <w:i/>
          <w:iCs/>
          <w:noProof/>
          <w:szCs w:val="24"/>
          <w:lang w:val="en-GB"/>
        </w:rPr>
        <w:t>J. Evol. Biol.</w:t>
      </w:r>
      <w:r w:rsidRPr="007E3576">
        <w:rPr>
          <w:noProof/>
          <w:szCs w:val="24"/>
          <w:lang w:val="en-GB"/>
        </w:rPr>
        <w:t xml:space="preserve"> 23(1):53–71</w:t>
      </w:r>
    </w:p>
    <w:p w14:paraId="07248D67"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Rogers JS. 1972. Measures of genetic similarity and genetic distances. In </w:t>
      </w:r>
      <w:r w:rsidRPr="007E3576">
        <w:rPr>
          <w:i/>
          <w:iCs/>
          <w:noProof/>
          <w:szCs w:val="24"/>
          <w:lang w:val="en-GB"/>
        </w:rPr>
        <w:t>Studies in Genetics VII</w:t>
      </w:r>
      <w:r w:rsidRPr="007E3576">
        <w:rPr>
          <w:noProof/>
          <w:szCs w:val="24"/>
          <w:lang w:val="en-GB"/>
        </w:rPr>
        <w:t>, ed. MR Wheeler, pp. 145–53. Austin: The University of Texas</w:t>
      </w:r>
    </w:p>
    <w:p w14:paraId="20514E6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Rousset F. 1997. Genetic Differentiation and Estimation of Gene Flow from FStatistics Under Isolation by Distance. </w:t>
      </w:r>
      <w:r w:rsidRPr="007E3576">
        <w:rPr>
          <w:i/>
          <w:iCs/>
          <w:noProof/>
          <w:szCs w:val="24"/>
          <w:lang w:val="en-GB"/>
        </w:rPr>
        <w:t>Genetics</w:t>
      </w:r>
      <w:r w:rsidRPr="007E3576">
        <w:rPr>
          <w:noProof/>
          <w:szCs w:val="24"/>
          <w:lang w:val="en-GB"/>
        </w:rPr>
        <w:t>. 145(4):1219–28</w:t>
      </w:r>
    </w:p>
    <w:p w14:paraId="6A39C924"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RStudio Team. 2018. RStudio: Integrated Development for R</w:t>
      </w:r>
    </w:p>
    <w:p w14:paraId="45E6505B"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Schrey AW, Liebl AL, Richards CL, Martin LB. 2014. Range expansion of house sparrows (Passer domesticus) in kenya: Evidence of genetic admixture and human-mediated dispersal. </w:t>
      </w:r>
      <w:r w:rsidRPr="007E3576">
        <w:rPr>
          <w:i/>
          <w:iCs/>
          <w:noProof/>
          <w:szCs w:val="24"/>
          <w:lang w:val="en-GB"/>
        </w:rPr>
        <w:t>J. Hered.</w:t>
      </w:r>
      <w:r w:rsidRPr="007E3576">
        <w:rPr>
          <w:noProof/>
          <w:szCs w:val="24"/>
          <w:lang w:val="en-GB"/>
        </w:rPr>
        <w:t xml:space="preserve"> 105(1):60–69</w:t>
      </w:r>
    </w:p>
    <w:p w14:paraId="2FA58A93" w14:textId="77777777" w:rsidR="00FF6757" w:rsidRPr="00606374" w:rsidRDefault="00FF6757" w:rsidP="00FF6757">
      <w:pPr>
        <w:widowControl w:val="0"/>
        <w:autoSpaceDE w:val="0"/>
        <w:autoSpaceDN w:val="0"/>
        <w:adjustRightInd w:val="0"/>
        <w:spacing w:before="0" w:after="0" w:line="240" w:lineRule="auto"/>
        <w:ind w:left="480" w:hanging="480"/>
        <w:rPr>
          <w:noProof/>
          <w:szCs w:val="24"/>
        </w:rPr>
      </w:pPr>
      <w:r w:rsidRPr="007E3576">
        <w:rPr>
          <w:noProof/>
          <w:szCs w:val="24"/>
          <w:lang w:val="en-GB"/>
        </w:rPr>
        <w:lastRenderedPageBreak/>
        <w:t xml:space="preserve">Segelbacher G, Cushman SA, Epperson BK, Fortin M-J, Francois O, et al. 2010. Applications of landscape genetics in conservation biology: Concepts and challenges. </w:t>
      </w:r>
      <w:r w:rsidRPr="00606374">
        <w:rPr>
          <w:i/>
          <w:iCs/>
          <w:noProof/>
          <w:szCs w:val="24"/>
        </w:rPr>
        <w:t>Conserv. Genet.</w:t>
      </w:r>
      <w:r w:rsidRPr="00606374">
        <w:rPr>
          <w:noProof/>
          <w:szCs w:val="24"/>
        </w:rPr>
        <w:t xml:space="preserve"> 11(2):375–85</w:t>
      </w:r>
    </w:p>
    <w:p w14:paraId="7CC2093B"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606374">
        <w:rPr>
          <w:noProof/>
          <w:szCs w:val="24"/>
        </w:rPr>
        <w:t xml:space="preserve">Segura-García I, Garavelli L, Tringali M, Matthews T, Chérubin LM, et al. 2019. </w:t>
      </w:r>
      <w:r w:rsidRPr="007E3576">
        <w:rPr>
          <w:noProof/>
          <w:szCs w:val="24"/>
          <w:lang w:val="en-GB"/>
        </w:rPr>
        <w:t xml:space="preserve">Reconstruction of larval origins based on genetic relatedness and biophysical modeling. </w:t>
      </w:r>
      <w:r w:rsidRPr="007E3576">
        <w:rPr>
          <w:i/>
          <w:iCs/>
          <w:noProof/>
          <w:szCs w:val="24"/>
          <w:lang w:val="en-GB"/>
        </w:rPr>
        <w:t>Sci. Rep.</w:t>
      </w:r>
      <w:r w:rsidRPr="007E3576">
        <w:rPr>
          <w:noProof/>
          <w:szCs w:val="24"/>
          <w:lang w:val="en-GB"/>
        </w:rPr>
        <w:t xml:space="preserve"> 9(1):1–9</w:t>
      </w:r>
    </w:p>
    <w:p w14:paraId="3AE928DA"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Skoglund P, Sjödin P, Skoglund T, Lascoux M, Jakobsson M. 2014. Investigating population history using temporal genetic differentiation. </w:t>
      </w:r>
      <w:r w:rsidRPr="007E3576">
        <w:rPr>
          <w:i/>
          <w:iCs/>
          <w:noProof/>
          <w:szCs w:val="24"/>
          <w:lang w:val="en-GB"/>
        </w:rPr>
        <w:t>Mol. Biol. Evol.</w:t>
      </w:r>
      <w:r w:rsidRPr="007E3576">
        <w:rPr>
          <w:noProof/>
          <w:szCs w:val="24"/>
          <w:lang w:val="en-GB"/>
        </w:rPr>
        <w:t xml:space="preserve"> 31(9):2516–27</w:t>
      </w:r>
    </w:p>
    <w:p w14:paraId="1DD0F5F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Slatkin M, Excoffier L. 2012. Serial founder effects during range expansion: A spatial analog of genetic drift. </w:t>
      </w:r>
      <w:r w:rsidRPr="007E3576">
        <w:rPr>
          <w:i/>
          <w:iCs/>
          <w:noProof/>
          <w:szCs w:val="24"/>
          <w:lang w:val="en-GB"/>
        </w:rPr>
        <w:t>Genetics</w:t>
      </w:r>
      <w:r w:rsidRPr="007E3576">
        <w:rPr>
          <w:noProof/>
          <w:szCs w:val="24"/>
          <w:lang w:val="en-GB"/>
        </w:rPr>
        <w:t>. 191(1):171–81</w:t>
      </w:r>
    </w:p>
    <w:p w14:paraId="74788BC5" w14:textId="77777777" w:rsidR="00FF6757" w:rsidRPr="00606374" w:rsidRDefault="00FF6757" w:rsidP="00FF6757">
      <w:pPr>
        <w:widowControl w:val="0"/>
        <w:autoSpaceDE w:val="0"/>
        <w:autoSpaceDN w:val="0"/>
        <w:adjustRightInd w:val="0"/>
        <w:spacing w:before="0" w:after="0" w:line="240" w:lineRule="auto"/>
        <w:ind w:left="480" w:hanging="480"/>
        <w:rPr>
          <w:noProof/>
          <w:szCs w:val="24"/>
        </w:rPr>
      </w:pPr>
      <w:r w:rsidRPr="007E3576">
        <w:rPr>
          <w:noProof/>
          <w:szCs w:val="24"/>
          <w:lang w:val="en-GB"/>
        </w:rPr>
        <w:t xml:space="preserve">Sork VL, Davis FW, Westfall R, Flint A, Ikegami M, et al. 2010. Gene movement and genetic association with regional climate gradients in California valley oak (Quercus lobata Née) in the face of climate change. </w:t>
      </w:r>
      <w:r w:rsidRPr="00606374">
        <w:rPr>
          <w:i/>
          <w:iCs/>
          <w:noProof/>
          <w:szCs w:val="24"/>
        </w:rPr>
        <w:t>Mol. Ecol.</w:t>
      </w:r>
      <w:r w:rsidRPr="00606374">
        <w:rPr>
          <w:noProof/>
          <w:szCs w:val="24"/>
        </w:rPr>
        <w:t xml:space="preserve"> 19(17):3806–23</w:t>
      </w:r>
    </w:p>
    <w:p w14:paraId="4F97079E" w14:textId="77777777" w:rsidR="00FF6757" w:rsidRPr="00606374" w:rsidRDefault="00FF6757" w:rsidP="00FF6757">
      <w:pPr>
        <w:widowControl w:val="0"/>
        <w:autoSpaceDE w:val="0"/>
        <w:autoSpaceDN w:val="0"/>
        <w:adjustRightInd w:val="0"/>
        <w:spacing w:before="0" w:after="0" w:line="240" w:lineRule="auto"/>
        <w:ind w:left="480" w:hanging="480"/>
        <w:rPr>
          <w:noProof/>
          <w:szCs w:val="24"/>
        </w:rPr>
      </w:pPr>
      <w:r w:rsidRPr="00606374">
        <w:rPr>
          <w:noProof/>
          <w:szCs w:val="24"/>
        </w:rPr>
        <w:t xml:space="preserve">Sturbois A, De Cáceres M, Sánchez-Pinillos M, Schaal G, Gauthier O, et al. 2021. </w:t>
      </w:r>
      <w:r w:rsidRPr="007E3576">
        <w:rPr>
          <w:noProof/>
          <w:szCs w:val="24"/>
          <w:lang w:val="en-GB"/>
        </w:rPr>
        <w:t xml:space="preserve">Extending community trajectory analysis: New metrics and representation. </w:t>
      </w:r>
      <w:r w:rsidRPr="007E3576">
        <w:rPr>
          <w:i/>
          <w:iCs/>
          <w:noProof/>
          <w:szCs w:val="24"/>
          <w:lang w:val="en-GB"/>
        </w:rPr>
        <w:t>Ecol. Modell.</w:t>
      </w:r>
      <w:r w:rsidRPr="007E3576">
        <w:rPr>
          <w:noProof/>
          <w:szCs w:val="24"/>
          <w:lang w:val="en-GB"/>
        </w:rPr>
        <w:t xml:space="preserve"> </w:t>
      </w:r>
      <w:r w:rsidRPr="00606374">
        <w:rPr>
          <w:noProof/>
          <w:szCs w:val="24"/>
        </w:rPr>
        <w:t>440:109400</w:t>
      </w:r>
    </w:p>
    <w:p w14:paraId="700C066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606374">
        <w:rPr>
          <w:noProof/>
          <w:szCs w:val="24"/>
        </w:rPr>
        <w:t xml:space="preserve">Suárez NM, Betancor E, Fregel R, Rodríguez F, Pestano J, et al. 2012. </w:t>
      </w:r>
      <w:r w:rsidRPr="007E3576">
        <w:rPr>
          <w:noProof/>
          <w:szCs w:val="24"/>
          <w:lang w:val="en-GB"/>
        </w:rPr>
        <w:t xml:space="preserve">Genetic signature of a severe forest fire on the endangered Gran Canaria blue chaffinch (Fringilla teydea polatzeki). </w:t>
      </w:r>
      <w:r w:rsidRPr="007E3576">
        <w:rPr>
          <w:i/>
          <w:iCs/>
          <w:noProof/>
          <w:szCs w:val="24"/>
          <w:lang w:val="en-GB"/>
        </w:rPr>
        <w:t>Conserv. Genet.</w:t>
      </w:r>
      <w:r w:rsidRPr="007E3576">
        <w:rPr>
          <w:noProof/>
          <w:szCs w:val="24"/>
          <w:lang w:val="en-GB"/>
        </w:rPr>
        <w:t xml:space="preserve"> 13(2):499–507</w:t>
      </w:r>
    </w:p>
    <w:p w14:paraId="185E544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Szucs M, Melbourne BA, Tuff T, Hufbauer RA. 2014. The roles of demography and genetics in the early stages of colonization. </w:t>
      </w:r>
      <w:r w:rsidRPr="007E3576">
        <w:rPr>
          <w:i/>
          <w:iCs/>
          <w:noProof/>
          <w:szCs w:val="24"/>
          <w:lang w:val="en-GB"/>
        </w:rPr>
        <w:t>Proc. R. Soc. B Biol. Sci.</w:t>
      </w:r>
      <w:r w:rsidRPr="007E3576">
        <w:rPr>
          <w:noProof/>
          <w:szCs w:val="24"/>
          <w:lang w:val="en-GB"/>
        </w:rPr>
        <w:t xml:space="preserve"> 281(1792):20141073</w:t>
      </w:r>
    </w:p>
    <w:p w14:paraId="75D38D0A"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Velázquez E, Martínez I, Getzin S, Moloney KA, Wiegand T. 2016. An evaluation of the state of spatial point pattern analysis in ecology. </w:t>
      </w:r>
      <w:r w:rsidRPr="007E3576">
        <w:rPr>
          <w:i/>
          <w:iCs/>
          <w:noProof/>
          <w:szCs w:val="24"/>
          <w:lang w:val="en-GB"/>
        </w:rPr>
        <w:t>Ecography.</w:t>
      </w:r>
      <w:r w:rsidRPr="007E3576">
        <w:rPr>
          <w:noProof/>
          <w:szCs w:val="24"/>
          <w:lang w:val="en-GB"/>
        </w:rPr>
        <w:t xml:space="preserve"> 39(11):1042–55</w:t>
      </w:r>
    </w:p>
    <w:p w14:paraId="4FD6BEC1"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Wang IJ, Bradburd GS. 2014. Isolation by Environment. </w:t>
      </w:r>
      <w:r w:rsidRPr="007E3576">
        <w:rPr>
          <w:i/>
          <w:iCs/>
          <w:noProof/>
          <w:szCs w:val="24"/>
          <w:lang w:val="en-GB"/>
        </w:rPr>
        <w:t>Mol. Ecol.</w:t>
      </w:r>
      <w:r w:rsidRPr="007E3576">
        <w:rPr>
          <w:noProof/>
          <w:szCs w:val="24"/>
          <w:lang w:val="en-GB"/>
        </w:rPr>
        <w:t xml:space="preserve"> n/a-n/a</w:t>
      </w:r>
    </w:p>
    <w:p w14:paraId="7C60D158" w14:textId="77777777" w:rsidR="00FF6757" w:rsidRPr="00606374" w:rsidRDefault="00FF6757" w:rsidP="00FF6757">
      <w:pPr>
        <w:widowControl w:val="0"/>
        <w:autoSpaceDE w:val="0"/>
        <w:autoSpaceDN w:val="0"/>
        <w:adjustRightInd w:val="0"/>
        <w:spacing w:before="0" w:after="0" w:line="240" w:lineRule="auto"/>
        <w:ind w:left="480" w:hanging="480"/>
        <w:rPr>
          <w:noProof/>
          <w:szCs w:val="24"/>
        </w:rPr>
      </w:pPr>
      <w:r w:rsidRPr="007E3576">
        <w:rPr>
          <w:noProof/>
          <w:szCs w:val="24"/>
          <w:lang w:val="en-GB"/>
        </w:rPr>
        <w:t xml:space="preserve">Welch H, Brodie S, Jacox MG, Bograd SJ, Hazen EL. 2020. Decision-support tools for dynamic management. </w:t>
      </w:r>
      <w:r w:rsidRPr="00606374">
        <w:rPr>
          <w:i/>
          <w:iCs/>
          <w:noProof/>
          <w:szCs w:val="24"/>
        </w:rPr>
        <w:t>Conserv. Biol.</w:t>
      </w:r>
      <w:r w:rsidRPr="00606374">
        <w:rPr>
          <w:noProof/>
          <w:szCs w:val="24"/>
        </w:rPr>
        <w:t xml:space="preserve"> 34(3):589–99</w:t>
      </w:r>
    </w:p>
    <w:p w14:paraId="294C1801"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Willi Y, Griffin P, Van Buskirk J. 2013. Drift load in populations of small size and low density. </w:t>
      </w:r>
      <w:r w:rsidRPr="00FF6757">
        <w:rPr>
          <w:i/>
          <w:iCs/>
          <w:noProof/>
          <w:szCs w:val="24"/>
          <w:lang w:val="en-GB"/>
        </w:rPr>
        <w:t>Heredity.</w:t>
      </w:r>
      <w:r w:rsidRPr="00FF6757">
        <w:rPr>
          <w:noProof/>
          <w:szCs w:val="24"/>
          <w:lang w:val="en-GB"/>
        </w:rPr>
        <w:t xml:space="preserve"> 110(3):296–302</w:t>
      </w:r>
    </w:p>
    <w:p w14:paraId="67419BBA" w14:textId="77777777" w:rsidR="00FF6757" w:rsidRPr="00606374" w:rsidRDefault="00FF6757" w:rsidP="00FF6757">
      <w:pPr>
        <w:widowControl w:val="0"/>
        <w:autoSpaceDE w:val="0"/>
        <w:autoSpaceDN w:val="0"/>
        <w:adjustRightInd w:val="0"/>
        <w:spacing w:before="0" w:after="0" w:line="240" w:lineRule="auto"/>
        <w:ind w:left="480" w:hanging="480"/>
        <w:rPr>
          <w:noProof/>
          <w:szCs w:val="24"/>
        </w:rPr>
      </w:pPr>
      <w:r w:rsidRPr="00FF6757">
        <w:rPr>
          <w:noProof/>
          <w:szCs w:val="24"/>
          <w:lang w:val="en-GB"/>
        </w:rPr>
        <w:t xml:space="preserve">Winegardner AK, Legendre P, Beisner BE, Gregory-Eaves I. 2017. Diatom diversity patterns over the past c. 150 years across the conterminous United States of America: Identifying mechanisms behind beta diversity. </w:t>
      </w:r>
      <w:r w:rsidRPr="00606374">
        <w:rPr>
          <w:i/>
          <w:iCs/>
          <w:noProof/>
          <w:szCs w:val="24"/>
        </w:rPr>
        <w:t>Glob. Ecol. Biogeogr.</w:t>
      </w:r>
      <w:r w:rsidRPr="00606374">
        <w:rPr>
          <w:noProof/>
          <w:szCs w:val="24"/>
        </w:rPr>
        <w:t xml:space="preserve"> 26(11):1303–15</w:t>
      </w:r>
    </w:p>
    <w:p w14:paraId="5B0025B4"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Wittische J, Janes JK, James PMA. 2019. Modelling landscape genetic connectivity of the mountain pine beetle in western Canada. </w:t>
      </w:r>
      <w:r w:rsidRPr="007E3576">
        <w:rPr>
          <w:i/>
          <w:iCs/>
          <w:noProof/>
          <w:szCs w:val="24"/>
          <w:lang w:val="en-GB"/>
        </w:rPr>
        <w:t>Can. J. For. Res.</w:t>
      </w:r>
      <w:r w:rsidRPr="007E3576">
        <w:rPr>
          <w:noProof/>
          <w:szCs w:val="24"/>
          <w:lang w:val="en-GB"/>
        </w:rPr>
        <w:t xml:space="preserve"> 49(11):1339–48</w:t>
      </w:r>
    </w:p>
    <w:p w14:paraId="2FB36340" w14:textId="77777777" w:rsidR="00FF6757" w:rsidRPr="00606374" w:rsidRDefault="00FF6757" w:rsidP="00FF6757">
      <w:pPr>
        <w:widowControl w:val="0"/>
        <w:autoSpaceDE w:val="0"/>
        <w:autoSpaceDN w:val="0"/>
        <w:adjustRightInd w:val="0"/>
        <w:spacing w:before="0" w:after="0" w:line="240" w:lineRule="auto"/>
        <w:ind w:left="480" w:hanging="480"/>
        <w:rPr>
          <w:noProof/>
        </w:rPr>
      </w:pPr>
      <w:r w:rsidRPr="007E3576">
        <w:rPr>
          <w:noProof/>
          <w:szCs w:val="24"/>
          <w:lang w:val="en-GB"/>
        </w:rPr>
        <w:t xml:space="preserve">Wright S. 1943. Isolation by Distance. </w:t>
      </w:r>
      <w:r w:rsidRPr="007E3576">
        <w:rPr>
          <w:i/>
          <w:iCs/>
          <w:noProof/>
          <w:szCs w:val="24"/>
          <w:lang w:val="en-GB"/>
        </w:rPr>
        <w:t>Genetics</w:t>
      </w:r>
      <w:r w:rsidRPr="007E3576">
        <w:rPr>
          <w:noProof/>
          <w:szCs w:val="24"/>
          <w:lang w:val="en-GB"/>
        </w:rPr>
        <w:t xml:space="preserve">. </w:t>
      </w:r>
      <w:r w:rsidRPr="00606374">
        <w:rPr>
          <w:noProof/>
          <w:szCs w:val="24"/>
        </w:rPr>
        <w:t>28(2):114–38</w:t>
      </w:r>
    </w:p>
    <w:p w14:paraId="0FF36791" w14:textId="77777777" w:rsidR="00FF6757" w:rsidRPr="00606374" w:rsidRDefault="00FF6757" w:rsidP="00FF6757">
      <w:pPr>
        <w:pStyle w:val="NoSpacing"/>
        <w:rPr>
          <w:lang w:val="fr-FR"/>
        </w:rPr>
      </w:pPr>
      <w:r>
        <w:rPr>
          <w:lang w:val="fr-FR"/>
        </w:rPr>
        <w:fldChar w:fldCharType="end"/>
      </w:r>
    </w:p>
    <w:p w14:paraId="3686D4CE" w14:textId="77777777" w:rsidR="00FF6757" w:rsidRDefault="00FF6757" w:rsidP="004775A3">
      <w:pPr>
        <w:spacing w:line="480" w:lineRule="auto"/>
        <w:rPr>
          <w:lang w:val="en-GB"/>
        </w:rPr>
      </w:pPr>
    </w:p>
    <w:p w14:paraId="552EA324" w14:textId="77777777" w:rsidR="007E3576" w:rsidRDefault="007E3576" w:rsidP="004775A3">
      <w:pPr>
        <w:spacing w:line="480" w:lineRule="auto"/>
        <w:rPr>
          <w:lang w:val="en-GB"/>
        </w:rPr>
      </w:pPr>
    </w:p>
    <w:p w14:paraId="00A2CF02" w14:textId="77777777" w:rsidR="007E3576" w:rsidRDefault="007E3576" w:rsidP="004775A3">
      <w:pPr>
        <w:spacing w:line="480" w:lineRule="auto"/>
        <w:rPr>
          <w:lang w:val="en-GB"/>
        </w:rPr>
      </w:pPr>
    </w:p>
    <w:p w14:paraId="1E3F3DBE" w14:textId="77777777" w:rsidR="007E3576" w:rsidRDefault="007E3576" w:rsidP="004775A3">
      <w:pPr>
        <w:spacing w:line="480" w:lineRule="auto"/>
        <w:rPr>
          <w:lang w:val="en-GB"/>
        </w:rPr>
      </w:pPr>
    </w:p>
    <w:p w14:paraId="0F6DD62A" w14:textId="6CCD6241" w:rsidR="008D3B5A" w:rsidRPr="00FA4AB3" w:rsidRDefault="008D3B5A" w:rsidP="004775A3">
      <w:pPr>
        <w:spacing w:line="480" w:lineRule="auto"/>
        <w:rPr>
          <w:b/>
          <w:bCs w:val="0"/>
          <w:lang w:val="en-GB"/>
        </w:rPr>
      </w:pPr>
      <w:r w:rsidRPr="00FA4AB3">
        <w:rPr>
          <w:b/>
          <w:bCs w:val="0"/>
          <w:lang w:val="en-GB"/>
        </w:rPr>
        <w:lastRenderedPageBreak/>
        <w:t>DATA ACCESSIBILITY</w:t>
      </w:r>
    </w:p>
    <w:p w14:paraId="03BDD504" w14:textId="77777777" w:rsidR="008D3B5A" w:rsidRDefault="008D3B5A" w:rsidP="004775A3">
      <w:pPr>
        <w:spacing w:line="480" w:lineRule="auto"/>
        <w:rPr>
          <w:lang w:val="en-GB"/>
        </w:rPr>
      </w:pPr>
      <w:r w:rsidRPr="00362827">
        <w:rPr>
          <w:lang w:val="en-GB"/>
        </w:rPr>
        <w:t xml:space="preserve">All simulation data used for this paper will be deposited online upon acceptance. Functions used to </w:t>
      </w:r>
      <w:proofErr w:type="spellStart"/>
      <w:r w:rsidRPr="00362827">
        <w:rPr>
          <w:lang w:val="en-GB"/>
        </w:rPr>
        <w:t>analyze</w:t>
      </w:r>
      <w:proofErr w:type="spellEnd"/>
      <w:r w:rsidRPr="00362827">
        <w:rPr>
          <w:lang w:val="en-GB"/>
        </w:rPr>
        <w:t xml:space="preserve"> the simulations will be available on a public repository on </w:t>
      </w:r>
      <w:r w:rsidRPr="00362827">
        <w:rPr>
          <w:i/>
          <w:lang w:val="en-GB"/>
        </w:rPr>
        <w:t>GitHub</w:t>
      </w:r>
      <w:r w:rsidRPr="00362827">
        <w:rPr>
          <w:lang w:val="en-GB"/>
        </w:rPr>
        <w:t>.</w:t>
      </w:r>
      <w:r w:rsidRPr="00362827">
        <w:rPr>
          <w:i/>
          <w:lang w:val="en-GB"/>
        </w:rPr>
        <w:t xml:space="preserve"> </w:t>
      </w:r>
      <w:r w:rsidRPr="00362827">
        <w:rPr>
          <w:lang w:val="en-GB"/>
        </w:rPr>
        <w:t xml:space="preserve">TGI, the function that would be most useful to potential users of our approach, will continue to be maintained and developed and may be contributed to a CRAN package </w:t>
      </w:r>
      <w:proofErr w:type="gramStart"/>
      <w:r w:rsidRPr="00362827">
        <w:rPr>
          <w:lang w:val="en-GB"/>
        </w:rPr>
        <w:t>in the near future</w:t>
      </w:r>
      <w:proofErr w:type="gramEnd"/>
      <w:r w:rsidRPr="00362827">
        <w:rPr>
          <w:lang w:val="en-GB"/>
        </w:rPr>
        <w:t>.</w:t>
      </w:r>
    </w:p>
    <w:p w14:paraId="67868D0E" w14:textId="77777777" w:rsidR="008D3B5A" w:rsidRPr="00FA4AB3" w:rsidRDefault="008D3B5A" w:rsidP="004775A3">
      <w:pPr>
        <w:spacing w:line="480" w:lineRule="auto"/>
        <w:rPr>
          <w:b/>
          <w:bCs w:val="0"/>
          <w:lang w:val="en-GB"/>
        </w:rPr>
      </w:pPr>
      <w:r w:rsidRPr="00FA4AB3">
        <w:rPr>
          <w:b/>
          <w:bCs w:val="0"/>
          <w:lang w:val="en-GB"/>
        </w:rPr>
        <w:t>AUTHOR CONTRIBUTIONS</w:t>
      </w:r>
    </w:p>
    <w:p w14:paraId="197A3468" w14:textId="38627A91" w:rsidR="00400AE2" w:rsidRDefault="008D3B5A" w:rsidP="004775A3">
      <w:pPr>
        <w:spacing w:line="480" w:lineRule="auto"/>
        <w:rPr>
          <w:lang w:val="en-GB"/>
        </w:rPr>
      </w:pPr>
      <w:r w:rsidRPr="00362827">
        <w:rPr>
          <w:lang w:val="en-GB"/>
        </w:rPr>
        <w:t>J.W. designed the study, created the simulation inputs, ran the simulations, transformed the TBI function to TGI, and performed the analyses. P.L. and P.M.A.J. provided advice on the study design, analysis, and the visualization. J.W., P.L. and P.M.A.J. wrote the paper.</w:t>
      </w:r>
    </w:p>
    <w:p w14:paraId="61C04699" w14:textId="77777777" w:rsidR="000D6032" w:rsidRDefault="000D6032" w:rsidP="004A6FD4">
      <w:pPr>
        <w:widowControl w:val="0"/>
        <w:autoSpaceDE w:val="0"/>
        <w:autoSpaceDN w:val="0"/>
        <w:adjustRightInd w:val="0"/>
        <w:spacing w:after="240" w:line="276" w:lineRule="auto"/>
        <w:rPr>
          <w:b/>
          <w:szCs w:val="24"/>
          <w:lang w:val="en-GB"/>
        </w:rPr>
      </w:pPr>
      <w:bookmarkStart w:id="53" w:name="_Ref81344626"/>
      <w:bookmarkStart w:id="54" w:name="_Toc81346852"/>
    </w:p>
    <w:p w14:paraId="79D227D2" w14:textId="77777777" w:rsidR="000D6032" w:rsidRDefault="000D6032" w:rsidP="004A6FD4">
      <w:pPr>
        <w:widowControl w:val="0"/>
        <w:autoSpaceDE w:val="0"/>
        <w:autoSpaceDN w:val="0"/>
        <w:adjustRightInd w:val="0"/>
        <w:spacing w:after="240" w:line="276" w:lineRule="auto"/>
        <w:rPr>
          <w:b/>
          <w:szCs w:val="24"/>
          <w:lang w:val="en-GB"/>
        </w:rPr>
      </w:pPr>
    </w:p>
    <w:p w14:paraId="53F30C51" w14:textId="42C2B912" w:rsidR="000D6032" w:rsidRDefault="000D6032" w:rsidP="004A6FD4">
      <w:pPr>
        <w:widowControl w:val="0"/>
        <w:autoSpaceDE w:val="0"/>
        <w:autoSpaceDN w:val="0"/>
        <w:adjustRightInd w:val="0"/>
        <w:spacing w:after="240" w:line="276" w:lineRule="auto"/>
        <w:rPr>
          <w:b/>
          <w:szCs w:val="24"/>
          <w:lang w:val="en-GB"/>
        </w:rPr>
      </w:pPr>
    </w:p>
    <w:p w14:paraId="4342B0F8" w14:textId="319637E5" w:rsidR="00FF6757" w:rsidRDefault="00FF6757" w:rsidP="004A6FD4">
      <w:pPr>
        <w:widowControl w:val="0"/>
        <w:autoSpaceDE w:val="0"/>
        <w:autoSpaceDN w:val="0"/>
        <w:adjustRightInd w:val="0"/>
        <w:spacing w:after="240" w:line="276" w:lineRule="auto"/>
        <w:rPr>
          <w:b/>
          <w:szCs w:val="24"/>
          <w:lang w:val="en-GB"/>
        </w:rPr>
      </w:pPr>
    </w:p>
    <w:p w14:paraId="6AEB2042" w14:textId="03934AD4" w:rsidR="00FF6757" w:rsidRDefault="00FF6757" w:rsidP="004A6FD4">
      <w:pPr>
        <w:widowControl w:val="0"/>
        <w:autoSpaceDE w:val="0"/>
        <w:autoSpaceDN w:val="0"/>
        <w:adjustRightInd w:val="0"/>
        <w:spacing w:after="240" w:line="276" w:lineRule="auto"/>
        <w:rPr>
          <w:b/>
          <w:szCs w:val="24"/>
          <w:lang w:val="en-GB"/>
        </w:rPr>
      </w:pPr>
    </w:p>
    <w:p w14:paraId="44AA5326" w14:textId="563B47E6" w:rsidR="00FF6757" w:rsidRDefault="00FF6757" w:rsidP="004A6FD4">
      <w:pPr>
        <w:widowControl w:val="0"/>
        <w:autoSpaceDE w:val="0"/>
        <w:autoSpaceDN w:val="0"/>
        <w:adjustRightInd w:val="0"/>
        <w:spacing w:after="240" w:line="276" w:lineRule="auto"/>
        <w:rPr>
          <w:b/>
          <w:szCs w:val="24"/>
          <w:lang w:val="en-GB"/>
        </w:rPr>
      </w:pPr>
    </w:p>
    <w:p w14:paraId="3B423160" w14:textId="44FC0864" w:rsidR="00FF6757" w:rsidRDefault="00FF6757" w:rsidP="004A6FD4">
      <w:pPr>
        <w:widowControl w:val="0"/>
        <w:autoSpaceDE w:val="0"/>
        <w:autoSpaceDN w:val="0"/>
        <w:adjustRightInd w:val="0"/>
        <w:spacing w:after="240" w:line="276" w:lineRule="auto"/>
        <w:rPr>
          <w:b/>
          <w:szCs w:val="24"/>
          <w:lang w:val="en-GB"/>
        </w:rPr>
      </w:pPr>
    </w:p>
    <w:p w14:paraId="13DAAE96" w14:textId="39E8C1BD" w:rsidR="00FF6757" w:rsidRDefault="00FF6757" w:rsidP="004A6FD4">
      <w:pPr>
        <w:widowControl w:val="0"/>
        <w:autoSpaceDE w:val="0"/>
        <w:autoSpaceDN w:val="0"/>
        <w:adjustRightInd w:val="0"/>
        <w:spacing w:after="240" w:line="276" w:lineRule="auto"/>
        <w:rPr>
          <w:b/>
          <w:szCs w:val="24"/>
          <w:lang w:val="en-GB"/>
        </w:rPr>
      </w:pPr>
    </w:p>
    <w:p w14:paraId="315D368B" w14:textId="3A76A64D" w:rsidR="00FF6757" w:rsidRDefault="00FF6757" w:rsidP="004A6FD4">
      <w:pPr>
        <w:widowControl w:val="0"/>
        <w:autoSpaceDE w:val="0"/>
        <w:autoSpaceDN w:val="0"/>
        <w:adjustRightInd w:val="0"/>
        <w:spacing w:after="240" w:line="276" w:lineRule="auto"/>
        <w:rPr>
          <w:b/>
          <w:szCs w:val="24"/>
          <w:lang w:val="en-GB"/>
        </w:rPr>
      </w:pPr>
    </w:p>
    <w:p w14:paraId="74D6BDB9" w14:textId="3079959D" w:rsidR="00FF6757" w:rsidRDefault="00FF6757" w:rsidP="004A6FD4">
      <w:pPr>
        <w:widowControl w:val="0"/>
        <w:autoSpaceDE w:val="0"/>
        <w:autoSpaceDN w:val="0"/>
        <w:adjustRightInd w:val="0"/>
        <w:spacing w:after="240" w:line="276" w:lineRule="auto"/>
        <w:rPr>
          <w:b/>
          <w:szCs w:val="24"/>
          <w:lang w:val="en-GB"/>
        </w:rPr>
      </w:pPr>
    </w:p>
    <w:p w14:paraId="436D7031" w14:textId="3E56E255" w:rsidR="00FF6757" w:rsidRDefault="00FF6757" w:rsidP="004A6FD4">
      <w:pPr>
        <w:widowControl w:val="0"/>
        <w:autoSpaceDE w:val="0"/>
        <w:autoSpaceDN w:val="0"/>
        <w:adjustRightInd w:val="0"/>
        <w:spacing w:after="240" w:line="276" w:lineRule="auto"/>
        <w:rPr>
          <w:b/>
          <w:szCs w:val="24"/>
          <w:lang w:val="en-GB"/>
        </w:rPr>
      </w:pPr>
    </w:p>
    <w:p w14:paraId="4AD0ECD4" w14:textId="77777777" w:rsidR="000D6032" w:rsidRDefault="000D6032" w:rsidP="004A6FD4">
      <w:pPr>
        <w:widowControl w:val="0"/>
        <w:autoSpaceDE w:val="0"/>
        <w:autoSpaceDN w:val="0"/>
        <w:adjustRightInd w:val="0"/>
        <w:spacing w:after="240" w:line="276" w:lineRule="auto"/>
        <w:rPr>
          <w:b/>
          <w:szCs w:val="24"/>
          <w:lang w:val="en-GB"/>
        </w:rPr>
      </w:pPr>
    </w:p>
    <w:p w14:paraId="3C0819A5" w14:textId="6A43EC66" w:rsidR="004A6FD4" w:rsidRDefault="004A6FD4" w:rsidP="004A6FD4">
      <w:pPr>
        <w:widowControl w:val="0"/>
        <w:autoSpaceDE w:val="0"/>
        <w:autoSpaceDN w:val="0"/>
        <w:adjustRightInd w:val="0"/>
        <w:spacing w:after="240" w:line="276" w:lineRule="auto"/>
        <w:rPr>
          <w:szCs w:val="24"/>
          <w:lang w:val="en-CA"/>
        </w:rPr>
      </w:pPr>
      <w:r w:rsidRPr="00171DE1">
        <w:rPr>
          <w:b/>
          <w:szCs w:val="24"/>
          <w:lang w:val="en-GB"/>
        </w:rPr>
        <w:lastRenderedPageBreak/>
        <w:t xml:space="preserve">Table </w:t>
      </w:r>
      <w:r w:rsidRPr="00171DE1">
        <w:rPr>
          <w:b/>
          <w:szCs w:val="24"/>
          <w:lang w:val="en-GB"/>
        </w:rPr>
        <w:fldChar w:fldCharType="begin"/>
      </w:r>
      <w:r w:rsidRPr="00171DE1">
        <w:rPr>
          <w:b/>
          <w:szCs w:val="24"/>
          <w:lang w:val="en-GB"/>
        </w:rPr>
        <w:instrText xml:space="preserve"> SEQ Table \* ARABIC \s 1 </w:instrText>
      </w:r>
      <w:r w:rsidRPr="00171DE1">
        <w:rPr>
          <w:b/>
          <w:szCs w:val="24"/>
          <w:lang w:val="en-GB"/>
        </w:rPr>
        <w:fldChar w:fldCharType="separate"/>
      </w:r>
      <w:r w:rsidRPr="00171DE1">
        <w:rPr>
          <w:b/>
          <w:szCs w:val="24"/>
          <w:lang w:val="en-GB"/>
        </w:rPr>
        <w:t>1</w:t>
      </w:r>
      <w:r w:rsidRPr="00171DE1">
        <w:rPr>
          <w:szCs w:val="24"/>
          <w:lang w:val="en-CA"/>
        </w:rPr>
        <w:fldChar w:fldCharType="end"/>
      </w:r>
      <w:bookmarkEnd w:id="53"/>
      <w:r w:rsidRPr="00171DE1">
        <w:rPr>
          <w:szCs w:val="24"/>
          <w:lang w:val="en-GB"/>
        </w:rPr>
        <w:t> </w:t>
      </w:r>
      <w:r w:rsidRPr="00171DE1">
        <w:rPr>
          <w:b/>
          <w:szCs w:val="24"/>
          <w:lang w:val="en-GB"/>
        </w:rPr>
        <w:t xml:space="preserve">: </w:t>
      </w:r>
      <w:r w:rsidRPr="00171DE1">
        <w:rPr>
          <w:szCs w:val="24"/>
          <w:lang w:val="en-CA"/>
        </w:rPr>
        <w:t>Examples of A) the computation of the original TGI values for a biallelic marker (the method works for microsatellites too!) and B) the way we permutated input genotypic matrices to create a distribution to test TGI significance. The numbers in the table represent the number of copies of an allele in a sampled population.</w:t>
      </w:r>
      <w:bookmarkEnd w:id="54"/>
    </w:p>
    <w:tbl>
      <w:tblPr>
        <w:tblStyle w:val="TableGrid31"/>
        <w:tblpPr w:leftFromText="181" w:rightFromText="181" w:vertAnchor="text" w:horzAnchor="margin" w:tblpXSpec="center" w:tblpY="27"/>
        <w:tblOverlap w:val="never"/>
        <w:tblW w:w="0" w:type="auto"/>
        <w:tblLayout w:type="fixed"/>
        <w:tblLook w:val="04A0" w:firstRow="1" w:lastRow="0" w:firstColumn="1" w:lastColumn="0" w:noHBand="0" w:noVBand="1"/>
      </w:tblPr>
      <w:tblGrid>
        <w:gridCol w:w="1510"/>
        <w:gridCol w:w="946"/>
        <w:gridCol w:w="567"/>
        <w:gridCol w:w="567"/>
        <w:gridCol w:w="567"/>
        <w:gridCol w:w="567"/>
        <w:gridCol w:w="567"/>
        <w:gridCol w:w="567"/>
        <w:gridCol w:w="567"/>
        <w:gridCol w:w="567"/>
      </w:tblGrid>
      <w:tr w:rsidR="004A6FD4" w:rsidRPr="00790F40" w14:paraId="4B353819" w14:textId="77777777" w:rsidTr="00226A8A">
        <w:trPr>
          <w:trHeight w:val="587"/>
        </w:trPr>
        <w:tc>
          <w:tcPr>
            <w:tcW w:w="1510" w:type="dxa"/>
            <w:tcBorders>
              <w:top w:val="nil"/>
              <w:left w:val="nil"/>
              <w:bottom w:val="nil"/>
              <w:right w:val="nil"/>
            </w:tcBorders>
          </w:tcPr>
          <w:p w14:paraId="1DCCA569"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bookmarkStart w:id="55" w:name="_Hlk83243964"/>
          </w:p>
        </w:tc>
        <w:tc>
          <w:tcPr>
            <w:tcW w:w="946" w:type="dxa"/>
            <w:tcBorders>
              <w:top w:val="nil"/>
              <w:left w:val="nil"/>
              <w:bottom w:val="single" w:sz="18" w:space="0" w:color="auto"/>
              <w:right w:val="single" w:sz="4" w:space="0" w:color="auto"/>
            </w:tcBorders>
          </w:tcPr>
          <w:p w14:paraId="4EF27826"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Locus Allele</w:t>
            </w:r>
          </w:p>
        </w:tc>
        <w:tc>
          <w:tcPr>
            <w:tcW w:w="567" w:type="dxa"/>
            <w:tcBorders>
              <w:top w:val="nil"/>
              <w:left w:val="single" w:sz="4" w:space="0" w:color="auto"/>
              <w:bottom w:val="single" w:sz="18" w:space="0" w:color="auto"/>
              <w:right w:val="nil"/>
            </w:tcBorders>
            <w:vAlign w:val="center"/>
          </w:tcPr>
          <w:p w14:paraId="46F81CD3"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1</w:t>
            </w:r>
          </w:p>
          <w:p w14:paraId="3776AE62"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A</w:t>
            </w:r>
          </w:p>
        </w:tc>
        <w:tc>
          <w:tcPr>
            <w:tcW w:w="567" w:type="dxa"/>
            <w:tcBorders>
              <w:top w:val="nil"/>
              <w:left w:val="nil"/>
              <w:bottom w:val="single" w:sz="18" w:space="0" w:color="auto"/>
              <w:right w:val="single" w:sz="18" w:space="0" w:color="auto"/>
            </w:tcBorders>
            <w:vAlign w:val="center"/>
          </w:tcPr>
          <w:p w14:paraId="5F0CB65F"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1</w:t>
            </w:r>
          </w:p>
          <w:p w14:paraId="05BD5360"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B</w:t>
            </w:r>
          </w:p>
        </w:tc>
        <w:tc>
          <w:tcPr>
            <w:tcW w:w="567" w:type="dxa"/>
            <w:tcBorders>
              <w:top w:val="nil"/>
              <w:left w:val="single" w:sz="18" w:space="0" w:color="auto"/>
              <w:bottom w:val="single" w:sz="18" w:space="0" w:color="auto"/>
              <w:right w:val="nil"/>
            </w:tcBorders>
            <w:vAlign w:val="center"/>
          </w:tcPr>
          <w:p w14:paraId="4B343CD3"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2</w:t>
            </w:r>
          </w:p>
          <w:p w14:paraId="2E0E5846"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A</w:t>
            </w:r>
          </w:p>
        </w:tc>
        <w:tc>
          <w:tcPr>
            <w:tcW w:w="567" w:type="dxa"/>
            <w:tcBorders>
              <w:top w:val="nil"/>
              <w:left w:val="nil"/>
              <w:bottom w:val="single" w:sz="18" w:space="0" w:color="auto"/>
              <w:right w:val="single" w:sz="18" w:space="0" w:color="auto"/>
            </w:tcBorders>
            <w:vAlign w:val="center"/>
          </w:tcPr>
          <w:p w14:paraId="775D454D"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2</w:t>
            </w:r>
          </w:p>
          <w:p w14:paraId="50388CF0"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B</w:t>
            </w:r>
          </w:p>
        </w:tc>
        <w:tc>
          <w:tcPr>
            <w:tcW w:w="567" w:type="dxa"/>
            <w:tcBorders>
              <w:top w:val="nil"/>
              <w:left w:val="single" w:sz="18" w:space="0" w:color="auto"/>
              <w:bottom w:val="single" w:sz="18" w:space="0" w:color="auto"/>
              <w:right w:val="nil"/>
            </w:tcBorders>
            <w:vAlign w:val="center"/>
          </w:tcPr>
          <w:p w14:paraId="2483B7AB"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3</w:t>
            </w:r>
          </w:p>
          <w:p w14:paraId="6C29E4D9"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A</w:t>
            </w:r>
          </w:p>
        </w:tc>
        <w:tc>
          <w:tcPr>
            <w:tcW w:w="567" w:type="dxa"/>
            <w:tcBorders>
              <w:top w:val="nil"/>
              <w:left w:val="nil"/>
              <w:bottom w:val="single" w:sz="18" w:space="0" w:color="auto"/>
              <w:right w:val="single" w:sz="18" w:space="0" w:color="auto"/>
            </w:tcBorders>
            <w:vAlign w:val="center"/>
          </w:tcPr>
          <w:p w14:paraId="1E3D4ED9"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3</w:t>
            </w:r>
          </w:p>
          <w:p w14:paraId="3106919B"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B</w:t>
            </w:r>
          </w:p>
        </w:tc>
        <w:tc>
          <w:tcPr>
            <w:tcW w:w="567" w:type="dxa"/>
            <w:tcBorders>
              <w:top w:val="nil"/>
              <w:left w:val="single" w:sz="18" w:space="0" w:color="auto"/>
              <w:bottom w:val="single" w:sz="18" w:space="0" w:color="auto"/>
              <w:right w:val="nil"/>
            </w:tcBorders>
            <w:vAlign w:val="center"/>
          </w:tcPr>
          <w:p w14:paraId="640CB8AE"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4</w:t>
            </w:r>
          </w:p>
          <w:p w14:paraId="5715CF17"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A</w:t>
            </w:r>
          </w:p>
        </w:tc>
        <w:tc>
          <w:tcPr>
            <w:tcW w:w="567" w:type="dxa"/>
            <w:tcBorders>
              <w:top w:val="nil"/>
              <w:left w:val="nil"/>
              <w:bottom w:val="single" w:sz="18" w:space="0" w:color="auto"/>
              <w:right w:val="nil"/>
            </w:tcBorders>
            <w:vAlign w:val="center"/>
          </w:tcPr>
          <w:p w14:paraId="7AB68410"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4</w:t>
            </w:r>
          </w:p>
          <w:p w14:paraId="46F54A6E"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B</w:t>
            </w:r>
          </w:p>
        </w:tc>
      </w:tr>
      <w:tr w:rsidR="004A6FD4" w:rsidRPr="00790F40" w14:paraId="2E5493C7" w14:textId="77777777" w:rsidTr="00226A8A">
        <w:tc>
          <w:tcPr>
            <w:tcW w:w="1510" w:type="dxa"/>
            <w:vMerge w:val="restart"/>
            <w:tcBorders>
              <w:top w:val="nil"/>
              <w:left w:val="nil"/>
              <w:bottom w:val="nil"/>
              <w:right w:val="nil"/>
            </w:tcBorders>
            <w:shd w:val="clear" w:color="auto" w:fill="auto"/>
          </w:tcPr>
          <w:p w14:paraId="53B604A0"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FIRST</w:t>
            </w:r>
          </w:p>
          <w:p w14:paraId="08DC5D66" w14:textId="77777777" w:rsidR="004A6FD4" w:rsidRPr="00790F40" w:rsidRDefault="004A6FD4" w:rsidP="00226A8A">
            <w:pPr>
              <w:widowControl w:val="0"/>
              <w:autoSpaceDE w:val="0"/>
              <w:autoSpaceDN w:val="0"/>
              <w:adjustRightInd w:val="0"/>
              <w:spacing w:before="0" w:after="0" w:line="240" w:lineRule="auto"/>
              <w:rPr>
                <w:b/>
                <w:szCs w:val="24"/>
                <w:vertAlign w:val="subscript"/>
                <w:lang w:val="en-CA"/>
              </w:rPr>
            </w:pPr>
            <w:r w:rsidRPr="00790F40">
              <w:rPr>
                <w:b/>
                <w:szCs w:val="24"/>
                <w:lang w:val="en-CA"/>
              </w:rPr>
              <w:t>SURVEY</w:t>
            </w:r>
            <w:r w:rsidRPr="00790F40">
              <w:rPr>
                <w:b/>
                <w:szCs w:val="24"/>
                <w:lang w:val="en-CA"/>
              </w:rPr>
              <w:br/>
              <w:t>T</w:t>
            </w:r>
            <w:r w:rsidRPr="00790F40">
              <w:rPr>
                <w:b/>
                <w:szCs w:val="24"/>
                <w:vertAlign w:val="subscript"/>
                <w:lang w:val="en-CA"/>
              </w:rPr>
              <w:t>1</w:t>
            </w:r>
          </w:p>
        </w:tc>
        <w:tc>
          <w:tcPr>
            <w:tcW w:w="946" w:type="dxa"/>
            <w:tcBorders>
              <w:top w:val="single" w:sz="18" w:space="0" w:color="auto"/>
              <w:left w:val="nil"/>
              <w:bottom w:val="nil"/>
            </w:tcBorders>
            <w:shd w:val="clear" w:color="auto" w:fill="D9E2F3"/>
          </w:tcPr>
          <w:p w14:paraId="08F7BB6B"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Pop. 1</w:t>
            </w:r>
          </w:p>
        </w:tc>
        <w:tc>
          <w:tcPr>
            <w:tcW w:w="567" w:type="dxa"/>
            <w:tcBorders>
              <w:top w:val="single" w:sz="18" w:space="0" w:color="auto"/>
              <w:bottom w:val="nil"/>
              <w:right w:val="nil"/>
            </w:tcBorders>
            <w:shd w:val="clear" w:color="auto" w:fill="D9E2F3"/>
          </w:tcPr>
          <w:p w14:paraId="22DDB58A"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single" w:sz="18" w:space="0" w:color="auto"/>
              <w:left w:val="nil"/>
              <w:bottom w:val="nil"/>
              <w:right w:val="single" w:sz="18" w:space="0" w:color="auto"/>
            </w:tcBorders>
            <w:shd w:val="clear" w:color="auto" w:fill="D9E2F3"/>
          </w:tcPr>
          <w:p w14:paraId="2E8A356B"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single" w:sz="18" w:space="0" w:color="auto"/>
              <w:left w:val="single" w:sz="18" w:space="0" w:color="auto"/>
              <w:bottom w:val="nil"/>
              <w:right w:val="nil"/>
            </w:tcBorders>
            <w:shd w:val="clear" w:color="auto" w:fill="D9E2F3"/>
          </w:tcPr>
          <w:p w14:paraId="07300BE3"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single" w:sz="18" w:space="0" w:color="auto"/>
              <w:left w:val="nil"/>
              <w:bottom w:val="nil"/>
              <w:right w:val="single" w:sz="18" w:space="0" w:color="auto"/>
            </w:tcBorders>
            <w:shd w:val="clear" w:color="auto" w:fill="D9E2F3"/>
          </w:tcPr>
          <w:p w14:paraId="5944B7EA"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single" w:sz="18" w:space="0" w:color="auto"/>
              <w:left w:val="single" w:sz="18" w:space="0" w:color="auto"/>
              <w:bottom w:val="nil"/>
              <w:right w:val="nil"/>
            </w:tcBorders>
            <w:shd w:val="clear" w:color="auto" w:fill="D9E2F3"/>
          </w:tcPr>
          <w:p w14:paraId="3C506B8B"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single" w:sz="18" w:space="0" w:color="auto"/>
              <w:left w:val="nil"/>
              <w:bottom w:val="nil"/>
              <w:right w:val="single" w:sz="18" w:space="0" w:color="auto"/>
            </w:tcBorders>
            <w:shd w:val="clear" w:color="auto" w:fill="D9E2F3"/>
          </w:tcPr>
          <w:p w14:paraId="743A7DAC"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single" w:sz="18" w:space="0" w:color="auto"/>
              <w:left w:val="single" w:sz="18" w:space="0" w:color="auto"/>
              <w:bottom w:val="nil"/>
              <w:right w:val="nil"/>
            </w:tcBorders>
            <w:shd w:val="clear" w:color="auto" w:fill="D9E2F3"/>
          </w:tcPr>
          <w:p w14:paraId="02F428F2"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single" w:sz="18" w:space="0" w:color="auto"/>
              <w:left w:val="nil"/>
              <w:bottom w:val="nil"/>
              <w:right w:val="nil"/>
            </w:tcBorders>
            <w:shd w:val="clear" w:color="auto" w:fill="D9E2F3"/>
          </w:tcPr>
          <w:p w14:paraId="6BD39052"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r>
      <w:tr w:rsidR="004A6FD4" w:rsidRPr="00790F40" w14:paraId="34C9D337" w14:textId="77777777" w:rsidTr="00226A8A">
        <w:tc>
          <w:tcPr>
            <w:tcW w:w="1510" w:type="dxa"/>
            <w:vMerge/>
            <w:tcBorders>
              <w:top w:val="nil"/>
              <w:left w:val="nil"/>
              <w:bottom w:val="nil"/>
              <w:right w:val="nil"/>
            </w:tcBorders>
            <w:shd w:val="clear" w:color="auto" w:fill="auto"/>
          </w:tcPr>
          <w:p w14:paraId="7DB5F8C1" w14:textId="77777777" w:rsidR="004A6FD4" w:rsidRPr="00790F40" w:rsidRDefault="004A6FD4" w:rsidP="00226A8A">
            <w:pPr>
              <w:widowControl w:val="0"/>
              <w:autoSpaceDE w:val="0"/>
              <w:autoSpaceDN w:val="0"/>
              <w:adjustRightInd w:val="0"/>
              <w:spacing w:before="0" w:after="0" w:line="240" w:lineRule="auto"/>
              <w:rPr>
                <w:b/>
                <w:szCs w:val="24"/>
                <w:lang w:val="en-CA"/>
              </w:rPr>
            </w:pPr>
          </w:p>
        </w:tc>
        <w:tc>
          <w:tcPr>
            <w:tcW w:w="946" w:type="dxa"/>
            <w:tcBorders>
              <w:top w:val="nil"/>
              <w:left w:val="nil"/>
              <w:bottom w:val="nil"/>
            </w:tcBorders>
          </w:tcPr>
          <w:p w14:paraId="4914FE8C"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Pop. 2</w:t>
            </w:r>
          </w:p>
        </w:tc>
        <w:tc>
          <w:tcPr>
            <w:tcW w:w="567" w:type="dxa"/>
            <w:tcBorders>
              <w:top w:val="nil"/>
              <w:bottom w:val="nil"/>
              <w:right w:val="nil"/>
            </w:tcBorders>
          </w:tcPr>
          <w:p w14:paraId="45761335"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nil"/>
              <w:left w:val="nil"/>
              <w:bottom w:val="nil"/>
              <w:right w:val="single" w:sz="18" w:space="0" w:color="auto"/>
            </w:tcBorders>
          </w:tcPr>
          <w:p w14:paraId="5DCBA3A1"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nil"/>
              <w:left w:val="single" w:sz="18" w:space="0" w:color="auto"/>
              <w:bottom w:val="nil"/>
              <w:right w:val="nil"/>
            </w:tcBorders>
          </w:tcPr>
          <w:p w14:paraId="68514D59"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single" w:sz="18" w:space="0" w:color="auto"/>
            </w:tcBorders>
          </w:tcPr>
          <w:p w14:paraId="121144D3"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single" w:sz="18" w:space="0" w:color="auto"/>
              <w:bottom w:val="nil"/>
              <w:right w:val="nil"/>
            </w:tcBorders>
          </w:tcPr>
          <w:p w14:paraId="3B89FEF0"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nil"/>
              <w:bottom w:val="nil"/>
              <w:right w:val="single" w:sz="18" w:space="0" w:color="auto"/>
            </w:tcBorders>
          </w:tcPr>
          <w:p w14:paraId="3805FE14"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single" w:sz="18" w:space="0" w:color="auto"/>
              <w:bottom w:val="nil"/>
              <w:right w:val="nil"/>
            </w:tcBorders>
          </w:tcPr>
          <w:p w14:paraId="58F10447"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nil"/>
              <w:bottom w:val="nil"/>
              <w:right w:val="nil"/>
            </w:tcBorders>
          </w:tcPr>
          <w:p w14:paraId="313E0EC8"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r>
      <w:tr w:rsidR="004A6FD4" w:rsidRPr="00790F40" w14:paraId="41848BF9" w14:textId="77777777" w:rsidTr="00226A8A">
        <w:tc>
          <w:tcPr>
            <w:tcW w:w="1510" w:type="dxa"/>
            <w:vMerge/>
            <w:tcBorders>
              <w:top w:val="nil"/>
              <w:left w:val="nil"/>
              <w:bottom w:val="nil"/>
              <w:right w:val="nil"/>
            </w:tcBorders>
            <w:shd w:val="clear" w:color="auto" w:fill="auto"/>
          </w:tcPr>
          <w:p w14:paraId="3DB8C68A" w14:textId="77777777" w:rsidR="004A6FD4" w:rsidRPr="00790F40" w:rsidRDefault="004A6FD4" w:rsidP="00226A8A">
            <w:pPr>
              <w:widowControl w:val="0"/>
              <w:autoSpaceDE w:val="0"/>
              <w:autoSpaceDN w:val="0"/>
              <w:adjustRightInd w:val="0"/>
              <w:spacing w:before="0" w:after="0" w:line="240" w:lineRule="auto"/>
              <w:rPr>
                <w:b/>
                <w:szCs w:val="24"/>
                <w:lang w:val="en-CA"/>
              </w:rPr>
            </w:pPr>
          </w:p>
        </w:tc>
        <w:tc>
          <w:tcPr>
            <w:tcW w:w="946" w:type="dxa"/>
            <w:tcBorders>
              <w:top w:val="nil"/>
              <w:left w:val="nil"/>
              <w:bottom w:val="nil"/>
            </w:tcBorders>
          </w:tcPr>
          <w:p w14:paraId="74A562A3"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Pop. 3</w:t>
            </w:r>
          </w:p>
        </w:tc>
        <w:tc>
          <w:tcPr>
            <w:tcW w:w="567" w:type="dxa"/>
            <w:tcBorders>
              <w:top w:val="nil"/>
              <w:bottom w:val="nil"/>
              <w:right w:val="nil"/>
            </w:tcBorders>
          </w:tcPr>
          <w:p w14:paraId="07C60480"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single" w:sz="18" w:space="0" w:color="auto"/>
            </w:tcBorders>
          </w:tcPr>
          <w:p w14:paraId="52A74A96"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single" w:sz="18" w:space="0" w:color="auto"/>
              <w:bottom w:val="nil"/>
              <w:right w:val="nil"/>
            </w:tcBorders>
          </w:tcPr>
          <w:p w14:paraId="76E53D26"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single" w:sz="18" w:space="0" w:color="auto"/>
            </w:tcBorders>
          </w:tcPr>
          <w:p w14:paraId="5367C0C8"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single" w:sz="18" w:space="0" w:color="auto"/>
              <w:bottom w:val="nil"/>
              <w:right w:val="nil"/>
            </w:tcBorders>
          </w:tcPr>
          <w:p w14:paraId="4E5B9ABD"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nil"/>
              <w:left w:val="nil"/>
              <w:bottom w:val="nil"/>
              <w:right w:val="single" w:sz="18" w:space="0" w:color="auto"/>
            </w:tcBorders>
          </w:tcPr>
          <w:p w14:paraId="2B4C1596"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nil"/>
              <w:left w:val="single" w:sz="18" w:space="0" w:color="auto"/>
              <w:bottom w:val="nil"/>
              <w:right w:val="nil"/>
            </w:tcBorders>
          </w:tcPr>
          <w:p w14:paraId="20E4D590"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nil"/>
              <w:left w:val="nil"/>
              <w:bottom w:val="nil"/>
              <w:right w:val="nil"/>
            </w:tcBorders>
          </w:tcPr>
          <w:p w14:paraId="05E1C664"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r>
      <w:tr w:rsidR="004A6FD4" w:rsidRPr="00790F40" w14:paraId="12DD4C77" w14:textId="77777777" w:rsidTr="00226A8A">
        <w:tc>
          <w:tcPr>
            <w:tcW w:w="1510" w:type="dxa"/>
            <w:vMerge/>
            <w:tcBorders>
              <w:top w:val="nil"/>
              <w:left w:val="nil"/>
              <w:bottom w:val="nil"/>
              <w:right w:val="nil"/>
            </w:tcBorders>
            <w:shd w:val="clear" w:color="auto" w:fill="auto"/>
          </w:tcPr>
          <w:p w14:paraId="14FA984A" w14:textId="77777777" w:rsidR="004A6FD4" w:rsidRPr="00790F40" w:rsidRDefault="004A6FD4" w:rsidP="00226A8A">
            <w:pPr>
              <w:widowControl w:val="0"/>
              <w:autoSpaceDE w:val="0"/>
              <w:autoSpaceDN w:val="0"/>
              <w:adjustRightInd w:val="0"/>
              <w:spacing w:before="0" w:after="0" w:line="240" w:lineRule="auto"/>
              <w:rPr>
                <w:b/>
                <w:szCs w:val="24"/>
                <w:lang w:val="en-CA"/>
              </w:rPr>
            </w:pPr>
          </w:p>
        </w:tc>
        <w:tc>
          <w:tcPr>
            <w:tcW w:w="946" w:type="dxa"/>
            <w:tcBorders>
              <w:top w:val="nil"/>
              <w:left w:val="nil"/>
              <w:bottom w:val="nil"/>
            </w:tcBorders>
          </w:tcPr>
          <w:p w14:paraId="6CB117A3"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Pop. 4</w:t>
            </w:r>
          </w:p>
        </w:tc>
        <w:tc>
          <w:tcPr>
            <w:tcW w:w="567" w:type="dxa"/>
            <w:tcBorders>
              <w:top w:val="nil"/>
              <w:bottom w:val="nil"/>
              <w:right w:val="nil"/>
            </w:tcBorders>
          </w:tcPr>
          <w:p w14:paraId="60E4B05D"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nil"/>
              <w:left w:val="nil"/>
              <w:bottom w:val="nil"/>
              <w:right w:val="single" w:sz="18" w:space="0" w:color="auto"/>
            </w:tcBorders>
          </w:tcPr>
          <w:p w14:paraId="404ECC35"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nil"/>
              <w:left w:val="single" w:sz="18" w:space="0" w:color="auto"/>
              <w:bottom w:val="nil"/>
              <w:right w:val="nil"/>
            </w:tcBorders>
          </w:tcPr>
          <w:p w14:paraId="29FCE0BA"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nil"/>
              <w:left w:val="nil"/>
              <w:bottom w:val="nil"/>
              <w:right w:val="single" w:sz="18" w:space="0" w:color="auto"/>
            </w:tcBorders>
          </w:tcPr>
          <w:p w14:paraId="65460062"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nil"/>
              <w:left w:val="single" w:sz="18" w:space="0" w:color="auto"/>
              <w:bottom w:val="nil"/>
              <w:right w:val="nil"/>
            </w:tcBorders>
          </w:tcPr>
          <w:p w14:paraId="49898E03"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single" w:sz="18" w:space="0" w:color="auto"/>
            </w:tcBorders>
          </w:tcPr>
          <w:p w14:paraId="3D19DDD6"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single" w:sz="18" w:space="0" w:color="auto"/>
              <w:bottom w:val="nil"/>
              <w:right w:val="nil"/>
            </w:tcBorders>
          </w:tcPr>
          <w:p w14:paraId="24601EEE"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nil"/>
            </w:tcBorders>
          </w:tcPr>
          <w:p w14:paraId="168F4F2E"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r>
      <w:tr w:rsidR="004A6FD4" w:rsidRPr="00790F40" w14:paraId="0F02ECD2" w14:textId="77777777" w:rsidTr="00226A8A">
        <w:tc>
          <w:tcPr>
            <w:tcW w:w="1510" w:type="dxa"/>
            <w:tcBorders>
              <w:top w:val="nil"/>
              <w:left w:val="nil"/>
              <w:bottom w:val="nil"/>
              <w:right w:val="nil"/>
            </w:tcBorders>
            <w:shd w:val="clear" w:color="auto" w:fill="AEAAAA"/>
          </w:tcPr>
          <w:p w14:paraId="4ECB1FE9" w14:textId="77777777" w:rsidR="004A6FD4" w:rsidRPr="00790F40" w:rsidRDefault="004A6FD4" w:rsidP="00226A8A">
            <w:pPr>
              <w:widowControl w:val="0"/>
              <w:autoSpaceDE w:val="0"/>
              <w:autoSpaceDN w:val="0"/>
              <w:adjustRightInd w:val="0"/>
              <w:spacing w:before="0" w:after="0" w:line="240" w:lineRule="auto"/>
              <w:rPr>
                <w:b/>
                <w:szCs w:val="24"/>
                <w:lang w:val="en-CA"/>
              </w:rPr>
            </w:pPr>
          </w:p>
        </w:tc>
        <w:tc>
          <w:tcPr>
            <w:tcW w:w="946" w:type="dxa"/>
            <w:tcBorders>
              <w:top w:val="nil"/>
              <w:left w:val="nil"/>
              <w:bottom w:val="nil"/>
              <w:right w:val="nil"/>
            </w:tcBorders>
            <w:shd w:val="clear" w:color="auto" w:fill="AEAAAA"/>
          </w:tcPr>
          <w:p w14:paraId="61940DB3" w14:textId="77777777" w:rsidR="004A6FD4" w:rsidRPr="00790F40" w:rsidRDefault="004A6FD4" w:rsidP="00226A8A">
            <w:pPr>
              <w:widowControl w:val="0"/>
              <w:autoSpaceDE w:val="0"/>
              <w:autoSpaceDN w:val="0"/>
              <w:adjustRightInd w:val="0"/>
              <w:spacing w:before="0" w:after="0" w:line="240" w:lineRule="auto"/>
              <w:rPr>
                <w:b/>
                <w:szCs w:val="24"/>
                <w:lang w:val="en-CA"/>
              </w:rPr>
            </w:pPr>
          </w:p>
        </w:tc>
        <w:tc>
          <w:tcPr>
            <w:tcW w:w="567" w:type="dxa"/>
            <w:tcBorders>
              <w:top w:val="nil"/>
              <w:left w:val="nil"/>
              <w:bottom w:val="nil"/>
              <w:right w:val="nil"/>
            </w:tcBorders>
            <w:shd w:val="clear" w:color="auto" w:fill="AEAAAA"/>
          </w:tcPr>
          <w:p w14:paraId="07DE86FD"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p>
        </w:tc>
        <w:tc>
          <w:tcPr>
            <w:tcW w:w="567" w:type="dxa"/>
            <w:tcBorders>
              <w:top w:val="nil"/>
              <w:left w:val="nil"/>
              <w:bottom w:val="nil"/>
              <w:right w:val="nil"/>
            </w:tcBorders>
            <w:shd w:val="clear" w:color="auto" w:fill="AEAAAA"/>
          </w:tcPr>
          <w:p w14:paraId="7EED4E28"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p>
        </w:tc>
        <w:tc>
          <w:tcPr>
            <w:tcW w:w="567" w:type="dxa"/>
            <w:tcBorders>
              <w:top w:val="nil"/>
              <w:left w:val="nil"/>
              <w:bottom w:val="nil"/>
              <w:right w:val="nil"/>
            </w:tcBorders>
            <w:shd w:val="clear" w:color="auto" w:fill="AEAAAA"/>
          </w:tcPr>
          <w:p w14:paraId="70DC41D9"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p>
        </w:tc>
        <w:tc>
          <w:tcPr>
            <w:tcW w:w="567" w:type="dxa"/>
            <w:tcBorders>
              <w:top w:val="nil"/>
              <w:left w:val="nil"/>
              <w:bottom w:val="nil"/>
              <w:right w:val="nil"/>
            </w:tcBorders>
            <w:shd w:val="clear" w:color="auto" w:fill="AEAAAA"/>
          </w:tcPr>
          <w:p w14:paraId="4CD722A2"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p>
        </w:tc>
        <w:tc>
          <w:tcPr>
            <w:tcW w:w="567" w:type="dxa"/>
            <w:tcBorders>
              <w:top w:val="nil"/>
              <w:left w:val="nil"/>
              <w:bottom w:val="nil"/>
              <w:right w:val="nil"/>
            </w:tcBorders>
            <w:shd w:val="clear" w:color="auto" w:fill="AEAAAA"/>
          </w:tcPr>
          <w:p w14:paraId="745883FB"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p>
        </w:tc>
        <w:tc>
          <w:tcPr>
            <w:tcW w:w="567" w:type="dxa"/>
            <w:tcBorders>
              <w:top w:val="nil"/>
              <w:left w:val="nil"/>
              <w:bottom w:val="nil"/>
              <w:right w:val="nil"/>
            </w:tcBorders>
            <w:shd w:val="clear" w:color="auto" w:fill="AEAAAA"/>
          </w:tcPr>
          <w:p w14:paraId="02CC19F1"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p>
        </w:tc>
        <w:tc>
          <w:tcPr>
            <w:tcW w:w="567" w:type="dxa"/>
            <w:tcBorders>
              <w:top w:val="nil"/>
              <w:left w:val="nil"/>
              <w:bottom w:val="nil"/>
              <w:right w:val="nil"/>
            </w:tcBorders>
            <w:shd w:val="clear" w:color="auto" w:fill="AEAAAA"/>
          </w:tcPr>
          <w:p w14:paraId="6B0BD970"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p>
        </w:tc>
        <w:tc>
          <w:tcPr>
            <w:tcW w:w="567" w:type="dxa"/>
            <w:tcBorders>
              <w:top w:val="nil"/>
              <w:left w:val="nil"/>
              <w:bottom w:val="nil"/>
              <w:right w:val="nil"/>
            </w:tcBorders>
            <w:shd w:val="clear" w:color="auto" w:fill="AEAAAA"/>
          </w:tcPr>
          <w:p w14:paraId="40A181F2"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p>
        </w:tc>
      </w:tr>
      <w:tr w:rsidR="004A6FD4" w:rsidRPr="00790F40" w14:paraId="4A03FC79" w14:textId="77777777" w:rsidTr="00226A8A">
        <w:tc>
          <w:tcPr>
            <w:tcW w:w="1510" w:type="dxa"/>
            <w:vMerge w:val="restart"/>
            <w:tcBorders>
              <w:top w:val="nil"/>
              <w:left w:val="nil"/>
              <w:bottom w:val="nil"/>
              <w:right w:val="nil"/>
            </w:tcBorders>
            <w:shd w:val="clear" w:color="auto" w:fill="auto"/>
          </w:tcPr>
          <w:p w14:paraId="7E43E7D6"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SECOND</w:t>
            </w:r>
          </w:p>
          <w:p w14:paraId="0E21FBC0" w14:textId="77777777" w:rsidR="004A6FD4" w:rsidRPr="00790F40" w:rsidRDefault="004A6FD4" w:rsidP="00226A8A">
            <w:pPr>
              <w:widowControl w:val="0"/>
              <w:autoSpaceDE w:val="0"/>
              <w:autoSpaceDN w:val="0"/>
              <w:adjustRightInd w:val="0"/>
              <w:spacing w:before="0" w:after="0" w:line="240" w:lineRule="auto"/>
              <w:rPr>
                <w:b/>
                <w:szCs w:val="24"/>
                <w:vertAlign w:val="subscript"/>
                <w:lang w:val="en-CA"/>
              </w:rPr>
            </w:pPr>
            <w:r w:rsidRPr="00790F40">
              <w:rPr>
                <w:b/>
                <w:szCs w:val="24"/>
                <w:lang w:val="en-CA"/>
              </w:rPr>
              <w:t>SURVEY</w:t>
            </w:r>
            <w:r w:rsidRPr="00790F40">
              <w:rPr>
                <w:b/>
                <w:szCs w:val="24"/>
                <w:lang w:val="en-CA"/>
              </w:rPr>
              <w:br/>
              <w:t>T</w:t>
            </w:r>
            <w:r w:rsidRPr="00790F40">
              <w:rPr>
                <w:b/>
                <w:szCs w:val="24"/>
                <w:vertAlign w:val="subscript"/>
                <w:lang w:val="en-CA"/>
              </w:rPr>
              <w:t>2</w:t>
            </w:r>
          </w:p>
        </w:tc>
        <w:tc>
          <w:tcPr>
            <w:tcW w:w="946" w:type="dxa"/>
            <w:tcBorders>
              <w:top w:val="nil"/>
              <w:left w:val="nil"/>
              <w:bottom w:val="nil"/>
            </w:tcBorders>
            <w:shd w:val="clear" w:color="auto" w:fill="D9E2F3"/>
          </w:tcPr>
          <w:p w14:paraId="48C3A3BB"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Pop. 1</w:t>
            </w:r>
          </w:p>
        </w:tc>
        <w:tc>
          <w:tcPr>
            <w:tcW w:w="567" w:type="dxa"/>
            <w:tcBorders>
              <w:top w:val="nil"/>
              <w:bottom w:val="nil"/>
              <w:right w:val="nil"/>
            </w:tcBorders>
            <w:shd w:val="clear" w:color="auto" w:fill="D9E2F3"/>
          </w:tcPr>
          <w:p w14:paraId="146D1281"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nil"/>
              <w:bottom w:val="nil"/>
              <w:right w:val="single" w:sz="18" w:space="0" w:color="auto"/>
            </w:tcBorders>
            <w:shd w:val="clear" w:color="auto" w:fill="D9E2F3"/>
          </w:tcPr>
          <w:p w14:paraId="376BA2F9"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single" w:sz="18" w:space="0" w:color="auto"/>
              <w:bottom w:val="nil"/>
              <w:right w:val="nil"/>
            </w:tcBorders>
            <w:shd w:val="clear" w:color="auto" w:fill="D9E2F3"/>
          </w:tcPr>
          <w:p w14:paraId="37580891"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nil"/>
              <w:bottom w:val="nil"/>
              <w:right w:val="single" w:sz="18" w:space="0" w:color="auto"/>
            </w:tcBorders>
            <w:shd w:val="clear" w:color="auto" w:fill="D9E2F3"/>
          </w:tcPr>
          <w:p w14:paraId="474D81E9"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single" w:sz="18" w:space="0" w:color="auto"/>
              <w:bottom w:val="nil"/>
              <w:right w:val="nil"/>
            </w:tcBorders>
            <w:shd w:val="clear" w:color="auto" w:fill="D9E2F3"/>
          </w:tcPr>
          <w:p w14:paraId="037D9C51"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nil"/>
              <w:bottom w:val="nil"/>
              <w:right w:val="single" w:sz="18" w:space="0" w:color="auto"/>
            </w:tcBorders>
            <w:shd w:val="clear" w:color="auto" w:fill="D9E2F3"/>
          </w:tcPr>
          <w:p w14:paraId="04E28CA5"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single" w:sz="18" w:space="0" w:color="auto"/>
              <w:bottom w:val="nil"/>
              <w:right w:val="nil"/>
            </w:tcBorders>
            <w:shd w:val="clear" w:color="auto" w:fill="D9E2F3"/>
          </w:tcPr>
          <w:p w14:paraId="023A58C8"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nil"/>
              <w:bottom w:val="nil"/>
              <w:right w:val="nil"/>
            </w:tcBorders>
            <w:shd w:val="clear" w:color="auto" w:fill="D9E2F3"/>
          </w:tcPr>
          <w:p w14:paraId="136CA509"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r>
      <w:tr w:rsidR="004A6FD4" w:rsidRPr="00790F40" w14:paraId="2553AAD2" w14:textId="77777777" w:rsidTr="00226A8A">
        <w:tc>
          <w:tcPr>
            <w:tcW w:w="1510" w:type="dxa"/>
            <w:vMerge/>
            <w:tcBorders>
              <w:top w:val="nil"/>
              <w:left w:val="nil"/>
              <w:bottom w:val="nil"/>
              <w:right w:val="nil"/>
            </w:tcBorders>
            <w:shd w:val="clear" w:color="auto" w:fill="auto"/>
          </w:tcPr>
          <w:p w14:paraId="15F99343" w14:textId="77777777" w:rsidR="004A6FD4" w:rsidRPr="00790F40" w:rsidRDefault="004A6FD4" w:rsidP="00226A8A">
            <w:pPr>
              <w:widowControl w:val="0"/>
              <w:autoSpaceDE w:val="0"/>
              <w:autoSpaceDN w:val="0"/>
              <w:adjustRightInd w:val="0"/>
              <w:spacing w:before="0" w:after="0" w:line="240" w:lineRule="auto"/>
              <w:rPr>
                <w:b/>
                <w:szCs w:val="24"/>
                <w:lang w:val="en-CA"/>
              </w:rPr>
            </w:pPr>
          </w:p>
        </w:tc>
        <w:tc>
          <w:tcPr>
            <w:tcW w:w="946" w:type="dxa"/>
            <w:tcBorders>
              <w:top w:val="nil"/>
              <w:left w:val="nil"/>
              <w:bottom w:val="nil"/>
            </w:tcBorders>
          </w:tcPr>
          <w:p w14:paraId="22933AFF"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Pop. 2</w:t>
            </w:r>
          </w:p>
        </w:tc>
        <w:tc>
          <w:tcPr>
            <w:tcW w:w="567" w:type="dxa"/>
            <w:tcBorders>
              <w:top w:val="nil"/>
              <w:bottom w:val="nil"/>
              <w:right w:val="nil"/>
            </w:tcBorders>
          </w:tcPr>
          <w:p w14:paraId="054B1152"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nil"/>
              <w:bottom w:val="nil"/>
              <w:right w:val="single" w:sz="18" w:space="0" w:color="auto"/>
            </w:tcBorders>
          </w:tcPr>
          <w:p w14:paraId="2BE4319C"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single" w:sz="18" w:space="0" w:color="auto"/>
              <w:bottom w:val="nil"/>
              <w:right w:val="nil"/>
            </w:tcBorders>
          </w:tcPr>
          <w:p w14:paraId="6C4FF7B3"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single" w:sz="18" w:space="0" w:color="auto"/>
            </w:tcBorders>
          </w:tcPr>
          <w:p w14:paraId="52DE798C"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single" w:sz="18" w:space="0" w:color="auto"/>
              <w:bottom w:val="nil"/>
              <w:right w:val="nil"/>
            </w:tcBorders>
          </w:tcPr>
          <w:p w14:paraId="3BE9E2E0"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single" w:sz="18" w:space="0" w:color="auto"/>
            </w:tcBorders>
          </w:tcPr>
          <w:p w14:paraId="16B17E40"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single" w:sz="18" w:space="0" w:color="auto"/>
              <w:bottom w:val="nil"/>
              <w:right w:val="nil"/>
            </w:tcBorders>
          </w:tcPr>
          <w:p w14:paraId="32450CAE"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nil"/>
              <w:bottom w:val="nil"/>
              <w:right w:val="nil"/>
            </w:tcBorders>
          </w:tcPr>
          <w:p w14:paraId="1E04483A"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r>
      <w:tr w:rsidR="004A6FD4" w:rsidRPr="00790F40" w14:paraId="6949DBEA" w14:textId="77777777" w:rsidTr="00226A8A">
        <w:tc>
          <w:tcPr>
            <w:tcW w:w="1510" w:type="dxa"/>
            <w:vMerge/>
            <w:tcBorders>
              <w:top w:val="nil"/>
              <w:left w:val="nil"/>
              <w:bottom w:val="nil"/>
              <w:right w:val="nil"/>
            </w:tcBorders>
            <w:shd w:val="clear" w:color="auto" w:fill="auto"/>
          </w:tcPr>
          <w:p w14:paraId="15CCF449" w14:textId="77777777" w:rsidR="004A6FD4" w:rsidRPr="00790F40" w:rsidRDefault="004A6FD4" w:rsidP="00226A8A">
            <w:pPr>
              <w:widowControl w:val="0"/>
              <w:autoSpaceDE w:val="0"/>
              <w:autoSpaceDN w:val="0"/>
              <w:adjustRightInd w:val="0"/>
              <w:spacing w:before="0" w:after="0" w:line="240" w:lineRule="auto"/>
              <w:rPr>
                <w:b/>
                <w:szCs w:val="24"/>
                <w:lang w:val="en-CA"/>
              </w:rPr>
            </w:pPr>
          </w:p>
        </w:tc>
        <w:tc>
          <w:tcPr>
            <w:tcW w:w="946" w:type="dxa"/>
            <w:tcBorders>
              <w:top w:val="nil"/>
              <w:left w:val="nil"/>
              <w:bottom w:val="nil"/>
            </w:tcBorders>
          </w:tcPr>
          <w:p w14:paraId="72C45E9F"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Pop. 3</w:t>
            </w:r>
          </w:p>
        </w:tc>
        <w:tc>
          <w:tcPr>
            <w:tcW w:w="567" w:type="dxa"/>
            <w:tcBorders>
              <w:top w:val="nil"/>
              <w:bottom w:val="nil"/>
              <w:right w:val="nil"/>
            </w:tcBorders>
          </w:tcPr>
          <w:p w14:paraId="726EEC40"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single" w:sz="18" w:space="0" w:color="auto"/>
            </w:tcBorders>
          </w:tcPr>
          <w:p w14:paraId="246A4212"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single" w:sz="18" w:space="0" w:color="auto"/>
              <w:bottom w:val="nil"/>
              <w:right w:val="nil"/>
            </w:tcBorders>
          </w:tcPr>
          <w:p w14:paraId="1B7578E5"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nil"/>
              <w:bottom w:val="nil"/>
              <w:right w:val="single" w:sz="18" w:space="0" w:color="auto"/>
            </w:tcBorders>
          </w:tcPr>
          <w:p w14:paraId="04ABA031"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single" w:sz="18" w:space="0" w:color="auto"/>
              <w:bottom w:val="nil"/>
              <w:right w:val="nil"/>
            </w:tcBorders>
          </w:tcPr>
          <w:p w14:paraId="472D37B7"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single" w:sz="18" w:space="0" w:color="auto"/>
            </w:tcBorders>
          </w:tcPr>
          <w:p w14:paraId="2CBF3F00"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single" w:sz="18" w:space="0" w:color="auto"/>
              <w:bottom w:val="nil"/>
              <w:right w:val="nil"/>
            </w:tcBorders>
          </w:tcPr>
          <w:p w14:paraId="3FE09C78"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nil"/>
              <w:left w:val="nil"/>
              <w:bottom w:val="nil"/>
              <w:right w:val="nil"/>
            </w:tcBorders>
          </w:tcPr>
          <w:p w14:paraId="26DF8DA6"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r>
      <w:tr w:rsidR="004A6FD4" w:rsidRPr="00790F40" w14:paraId="6E706E58" w14:textId="77777777" w:rsidTr="00226A8A">
        <w:tc>
          <w:tcPr>
            <w:tcW w:w="1510" w:type="dxa"/>
            <w:vMerge/>
            <w:tcBorders>
              <w:top w:val="nil"/>
              <w:left w:val="nil"/>
              <w:bottom w:val="nil"/>
              <w:right w:val="nil"/>
            </w:tcBorders>
            <w:shd w:val="clear" w:color="auto" w:fill="auto"/>
          </w:tcPr>
          <w:p w14:paraId="51868C34" w14:textId="77777777" w:rsidR="004A6FD4" w:rsidRPr="00790F40" w:rsidRDefault="004A6FD4" w:rsidP="00226A8A">
            <w:pPr>
              <w:widowControl w:val="0"/>
              <w:autoSpaceDE w:val="0"/>
              <w:autoSpaceDN w:val="0"/>
              <w:adjustRightInd w:val="0"/>
              <w:spacing w:before="0" w:after="0" w:line="240" w:lineRule="auto"/>
              <w:rPr>
                <w:b/>
                <w:szCs w:val="24"/>
                <w:lang w:val="en-CA"/>
              </w:rPr>
            </w:pPr>
          </w:p>
        </w:tc>
        <w:tc>
          <w:tcPr>
            <w:tcW w:w="946" w:type="dxa"/>
            <w:tcBorders>
              <w:top w:val="nil"/>
              <w:left w:val="nil"/>
              <w:bottom w:val="nil"/>
            </w:tcBorders>
          </w:tcPr>
          <w:p w14:paraId="31BD8BD2"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Pop. 4</w:t>
            </w:r>
          </w:p>
        </w:tc>
        <w:tc>
          <w:tcPr>
            <w:tcW w:w="567" w:type="dxa"/>
            <w:tcBorders>
              <w:top w:val="nil"/>
              <w:bottom w:val="nil"/>
              <w:right w:val="nil"/>
            </w:tcBorders>
          </w:tcPr>
          <w:p w14:paraId="4FA9C477"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nil"/>
              <w:left w:val="nil"/>
              <w:bottom w:val="nil"/>
              <w:right w:val="single" w:sz="18" w:space="0" w:color="auto"/>
            </w:tcBorders>
          </w:tcPr>
          <w:p w14:paraId="3EE2E684"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nil"/>
              <w:left w:val="single" w:sz="18" w:space="0" w:color="auto"/>
              <w:bottom w:val="nil"/>
              <w:right w:val="nil"/>
            </w:tcBorders>
          </w:tcPr>
          <w:p w14:paraId="21B23544"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nil"/>
              <w:left w:val="nil"/>
              <w:bottom w:val="nil"/>
              <w:right w:val="single" w:sz="18" w:space="0" w:color="auto"/>
            </w:tcBorders>
          </w:tcPr>
          <w:p w14:paraId="4CB226FA"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nil"/>
              <w:left w:val="single" w:sz="18" w:space="0" w:color="auto"/>
              <w:bottom w:val="nil"/>
              <w:right w:val="nil"/>
            </w:tcBorders>
          </w:tcPr>
          <w:p w14:paraId="698E2447"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nil"/>
              <w:bottom w:val="nil"/>
              <w:right w:val="single" w:sz="18" w:space="0" w:color="auto"/>
            </w:tcBorders>
          </w:tcPr>
          <w:p w14:paraId="0D12A15F"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single" w:sz="18" w:space="0" w:color="auto"/>
              <w:bottom w:val="nil"/>
              <w:right w:val="nil"/>
            </w:tcBorders>
          </w:tcPr>
          <w:p w14:paraId="1EC56A5E"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nil"/>
            </w:tcBorders>
          </w:tcPr>
          <w:p w14:paraId="168E5C1C"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r>
    </w:tbl>
    <w:bookmarkEnd w:id="55"/>
    <w:p w14:paraId="6A460D71" w14:textId="77777777" w:rsidR="004A6FD4" w:rsidRPr="00790F40" w:rsidRDefault="004A6FD4" w:rsidP="004A6FD4">
      <w:pPr>
        <w:widowControl w:val="0"/>
        <w:autoSpaceDE w:val="0"/>
        <w:autoSpaceDN w:val="0"/>
        <w:adjustRightInd w:val="0"/>
        <w:spacing w:after="240" w:line="276" w:lineRule="auto"/>
        <w:rPr>
          <w:b/>
          <w:bCs w:val="0"/>
          <w:szCs w:val="24"/>
          <w:lang w:val="en-CA"/>
        </w:rPr>
      </w:pPr>
      <w:r>
        <w:rPr>
          <w:b/>
          <w:bCs w:val="0"/>
          <w:szCs w:val="24"/>
          <w:lang w:val="en-CA"/>
        </w:rPr>
        <w:t>A)</w:t>
      </w:r>
    </w:p>
    <w:p w14:paraId="1C7EA269" w14:textId="77777777" w:rsidR="004A6FD4" w:rsidRDefault="004A6FD4" w:rsidP="004A6FD4">
      <w:pPr>
        <w:widowControl w:val="0"/>
        <w:autoSpaceDE w:val="0"/>
        <w:autoSpaceDN w:val="0"/>
        <w:adjustRightInd w:val="0"/>
        <w:spacing w:after="240" w:line="276" w:lineRule="auto"/>
        <w:rPr>
          <w:szCs w:val="24"/>
          <w:lang w:val="en-CA"/>
        </w:rPr>
      </w:pPr>
    </w:p>
    <w:p w14:paraId="4129615F" w14:textId="77777777" w:rsidR="004A6FD4" w:rsidRPr="00171DE1" w:rsidRDefault="004A6FD4" w:rsidP="004A6FD4">
      <w:pPr>
        <w:widowControl w:val="0"/>
        <w:autoSpaceDE w:val="0"/>
        <w:autoSpaceDN w:val="0"/>
        <w:adjustRightInd w:val="0"/>
        <w:spacing w:after="240" w:line="276" w:lineRule="auto"/>
        <w:rPr>
          <w:szCs w:val="24"/>
          <w:lang w:val="en-CA"/>
        </w:rPr>
      </w:pPr>
    </w:p>
    <w:p w14:paraId="6B89616F" w14:textId="77777777" w:rsidR="004A6FD4" w:rsidRDefault="004A6FD4" w:rsidP="004A6FD4">
      <w:pPr>
        <w:widowControl w:val="0"/>
        <w:autoSpaceDE w:val="0"/>
        <w:autoSpaceDN w:val="0"/>
        <w:adjustRightInd w:val="0"/>
        <w:spacing w:after="240" w:line="276" w:lineRule="auto"/>
        <w:rPr>
          <w:szCs w:val="24"/>
          <w:lang w:val="en-CA"/>
        </w:rPr>
      </w:pPr>
    </w:p>
    <w:p w14:paraId="106BDD0F" w14:textId="77777777" w:rsidR="004A6FD4" w:rsidRDefault="004A6FD4" w:rsidP="004A6FD4">
      <w:pPr>
        <w:pStyle w:val="Caption"/>
        <w:keepNext/>
        <w:rPr>
          <w:b/>
          <w:bCs w:val="0"/>
          <w:i w:val="0"/>
          <w:iCs w:val="0"/>
          <w:color w:val="auto"/>
          <w:sz w:val="24"/>
          <w:szCs w:val="24"/>
          <w:lang w:val="en-GB"/>
        </w:rPr>
      </w:pPr>
      <w:bookmarkStart w:id="56" w:name="_Ref81345150"/>
      <w:bookmarkStart w:id="57" w:name="_Toc81346853"/>
    </w:p>
    <w:p w14:paraId="150C3423" w14:textId="77777777" w:rsidR="004A6FD4" w:rsidRDefault="004A6FD4" w:rsidP="004A6FD4">
      <w:pPr>
        <w:pStyle w:val="Caption"/>
        <w:keepNext/>
        <w:rPr>
          <w:b/>
          <w:bCs w:val="0"/>
          <w:i w:val="0"/>
          <w:iCs w:val="0"/>
          <w:color w:val="auto"/>
          <w:sz w:val="24"/>
          <w:szCs w:val="24"/>
          <w:lang w:val="en-GB"/>
        </w:rPr>
      </w:pPr>
    </w:p>
    <w:p w14:paraId="1038D239" w14:textId="77777777" w:rsidR="004A6FD4" w:rsidRDefault="004A6FD4" w:rsidP="004A6FD4">
      <w:pPr>
        <w:widowControl w:val="0"/>
        <w:autoSpaceDE w:val="0"/>
        <w:autoSpaceDN w:val="0"/>
        <w:adjustRightInd w:val="0"/>
        <w:spacing w:before="0" w:after="0" w:line="240" w:lineRule="auto"/>
        <w:rPr>
          <w:szCs w:val="24"/>
          <w:u w:val="single"/>
          <w:lang w:val="en-CA"/>
        </w:rPr>
      </w:pPr>
      <w:r w:rsidRPr="00790F40">
        <w:rPr>
          <w:szCs w:val="24"/>
          <w:u w:val="single"/>
          <w:lang w:val="en-CA"/>
        </w:rPr>
        <w:t>TGI value for Population 1 between T</w:t>
      </w:r>
      <w:r w:rsidRPr="00790F40">
        <w:rPr>
          <w:szCs w:val="24"/>
          <w:u w:val="single"/>
          <w:vertAlign w:val="subscript"/>
          <w:lang w:val="en-CA"/>
        </w:rPr>
        <w:t xml:space="preserve">1 </w:t>
      </w:r>
      <w:r w:rsidRPr="00790F40">
        <w:rPr>
          <w:szCs w:val="24"/>
          <w:u w:val="single"/>
          <w:lang w:val="en-CA"/>
        </w:rPr>
        <w:t>and T</w:t>
      </w:r>
      <w:r w:rsidRPr="00790F40">
        <w:rPr>
          <w:szCs w:val="24"/>
          <w:u w:val="single"/>
          <w:vertAlign w:val="subscript"/>
          <w:lang w:val="en-CA"/>
        </w:rPr>
        <w:t xml:space="preserve">2 </w:t>
      </w:r>
      <w:r w:rsidRPr="00790F40">
        <w:rPr>
          <w:szCs w:val="24"/>
          <w:u w:val="single"/>
          <w:lang w:val="en-CA"/>
        </w:rPr>
        <w:t>(see Supp. Mat. 3-1):</w:t>
      </w:r>
    </w:p>
    <w:p w14:paraId="6EE58E53" w14:textId="77777777" w:rsidR="004A6FD4" w:rsidRPr="002510AD" w:rsidRDefault="004A6FD4" w:rsidP="004A6FD4">
      <w:pPr>
        <w:pStyle w:val="NoSpacing"/>
        <w:rPr>
          <w:sz w:val="23"/>
          <w:szCs w:val="23"/>
          <w:lang w:val="en-CA"/>
        </w:rPr>
      </w:pPr>
      <m:oMathPara>
        <m:oMathParaPr>
          <m:jc m:val="left"/>
        </m:oMathParaPr>
        <m:oMath>
          <m:sSub>
            <m:sSubPr>
              <m:ctrlPr>
                <w:rPr>
                  <w:rFonts w:ascii="Cambria Math" w:hAnsi="Cambria Math"/>
                  <w:sz w:val="23"/>
                  <w:szCs w:val="23"/>
                  <w:lang w:val="en-CA"/>
                </w:rPr>
              </m:ctrlPr>
            </m:sSubPr>
            <m:e>
              <m:r>
                <w:rPr>
                  <w:rFonts w:ascii="Cambria Math" w:hAnsi="Cambria Math"/>
                  <w:sz w:val="23"/>
                  <w:szCs w:val="23"/>
                  <w:lang w:val="en-CA"/>
                </w:rPr>
                <m:t>TGI</m:t>
              </m:r>
              <m:d>
                <m:dPr>
                  <m:ctrlPr>
                    <w:rPr>
                      <w:rFonts w:ascii="Cambria Math" w:hAnsi="Cambria Math"/>
                      <w:sz w:val="23"/>
                      <w:szCs w:val="23"/>
                      <w:lang w:val="en-CA"/>
                    </w:rPr>
                  </m:ctrlPr>
                </m:dPr>
                <m:e>
                  <m:sSub>
                    <m:sSubPr>
                      <m:ctrlPr>
                        <w:rPr>
                          <w:rFonts w:ascii="Cambria Math" w:hAnsi="Cambria Math"/>
                          <w:sz w:val="23"/>
                          <w:szCs w:val="23"/>
                          <w:lang w:val="en-CA"/>
                        </w:rPr>
                      </m:ctrlPr>
                    </m:sSubPr>
                    <m:e>
                      <m:r>
                        <w:rPr>
                          <w:rFonts w:ascii="Cambria Math" w:hAnsi="Cambria Math"/>
                          <w:sz w:val="23"/>
                          <w:szCs w:val="23"/>
                          <w:lang w:val="en-CA"/>
                        </w:rPr>
                        <m:t>pop</m:t>
                      </m:r>
                    </m:e>
                    <m:sub>
                      <m:r>
                        <m:rPr>
                          <m:sty m:val="p"/>
                        </m:rPr>
                        <w:rPr>
                          <w:rFonts w:ascii="Cambria Math" w:hAnsi="Cambria Math"/>
                          <w:sz w:val="23"/>
                          <w:szCs w:val="23"/>
                          <w:lang w:val="en-CA"/>
                        </w:rPr>
                        <m:t>1</m:t>
                      </m:r>
                    </m:sub>
                  </m:sSub>
                </m:e>
              </m:d>
              <m:r>
                <m:rPr>
                  <m:sty m:val="p"/>
                </m:rPr>
                <w:rPr>
                  <w:rFonts w:ascii="Cambria Math" w:hAnsi="Cambria Math"/>
                  <w:sz w:val="23"/>
                  <w:szCs w:val="23"/>
                  <w:lang w:val="en-CA"/>
                </w:rPr>
                <m:t>=</m:t>
              </m:r>
              <m:r>
                <w:rPr>
                  <w:rFonts w:ascii="Cambria Math" w:hAnsi="Cambria Math"/>
                  <w:sz w:val="23"/>
                  <w:szCs w:val="23"/>
                  <w:lang w:val="en-CA"/>
                </w:rPr>
                <m:t>D</m:t>
              </m:r>
            </m:e>
            <m:sub>
              <m:r>
                <w:rPr>
                  <w:rFonts w:ascii="Cambria Math" w:hAnsi="Cambria Math"/>
                  <w:sz w:val="23"/>
                  <w:szCs w:val="23"/>
                  <w:lang w:val="en-CA"/>
                </w:rPr>
                <m:t>Roger</m:t>
              </m:r>
            </m:sub>
          </m:sSub>
          <m:d>
            <m:dPr>
              <m:ctrlPr>
                <w:rPr>
                  <w:rFonts w:ascii="Cambria Math" w:hAnsi="Cambria Math"/>
                  <w:sz w:val="23"/>
                  <w:szCs w:val="23"/>
                  <w:lang w:val="en-CA"/>
                </w:rPr>
              </m:ctrlPr>
            </m:dPr>
            <m:e>
              <m:sSub>
                <m:sSubPr>
                  <m:ctrlPr>
                    <w:rPr>
                      <w:rFonts w:ascii="Cambria Math" w:hAnsi="Cambria Math"/>
                      <w:sz w:val="23"/>
                      <w:szCs w:val="23"/>
                      <w:lang w:val="en-CA"/>
                    </w:rPr>
                  </m:ctrlPr>
                </m:sSubPr>
                <m:e>
                  <m:r>
                    <w:rPr>
                      <w:rFonts w:ascii="Cambria Math" w:hAnsi="Cambria Math"/>
                      <w:sz w:val="23"/>
                      <w:szCs w:val="23"/>
                      <w:lang w:val="en-CA"/>
                    </w:rPr>
                    <m:t>pop</m:t>
                  </m:r>
                </m:e>
                <m:sub>
                  <m:r>
                    <m:rPr>
                      <m:sty m:val="p"/>
                    </m:rPr>
                    <w:rPr>
                      <w:rFonts w:ascii="Cambria Math" w:hAnsi="Cambria Math"/>
                      <w:sz w:val="23"/>
                      <w:szCs w:val="23"/>
                      <w:lang w:val="en-CA"/>
                    </w:rPr>
                    <m:t>1,</m:t>
                  </m:r>
                  <m:sSub>
                    <m:sSubPr>
                      <m:ctrlPr>
                        <w:rPr>
                          <w:rFonts w:ascii="Cambria Math" w:hAnsi="Cambria Math"/>
                          <w:b/>
                          <w:sz w:val="23"/>
                          <w:szCs w:val="23"/>
                          <w:lang w:val="en-CA"/>
                        </w:rPr>
                      </m:ctrlPr>
                    </m:sSubPr>
                    <m:e>
                      <m:r>
                        <m:rPr>
                          <m:sty m:val="b"/>
                        </m:rPr>
                        <w:rPr>
                          <w:rFonts w:ascii="Cambria Math" w:hAnsi="Cambria Math"/>
                          <w:sz w:val="23"/>
                          <w:szCs w:val="23"/>
                          <w:lang w:val="en-CA"/>
                        </w:rPr>
                        <m:t>T</m:t>
                      </m:r>
                    </m:e>
                    <m:sub>
                      <m:r>
                        <m:rPr>
                          <m:sty m:val="b"/>
                        </m:rPr>
                        <w:rPr>
                          <w:rFonts w:ascii="Cambria Math" w:hAnsi="Cambria Math"/>
                          <w:sz w:val="23"/>
                          <w:szCs w:val="23"/>
                          <w:lang w:val="en-CA"/>
                        </w:rPr>
                        <m:t>1</m:t>
                      </m:r>
                    </m:sub>
                  </m:sSub>
                </m:sub>
              </m:sSub>
              <m:sSub>
                <m:sSubPr>
                  <m:ctrlPr>
                    <w:rPr>
                      <w:rFonts w:ascii="Cambria Math" w:hAnsi="Cambria Math"/>
                      <w:sz w:val="23"/>
                      <w:szCs w:val="23"/>
                      <w:lang w:val="en-CA"/>
                    </w:rPr>
                  </m:ctrlPr>
                </m:sSubPr>
                <m:e>
                  <m:r>
                    <m:rPr>
                      <m:sty m:val="p"/>
                    </m:rPr>
                    <w:rPr>
                      <w:rFonts w:ascii="Cambria Math" w:hAnsi="Cambria Math"/>
                      <w:sz w:val="23"/>
                      <w:szCs w:val="23"/>
                      <w:lang w:val="en-CA"/>
                    </w:rPr>
                    <m:t xml:space="preserve">, </m:t>
                  </m:r>
                  <m:r>
                    <w:rPr>
                      <w:rFonts w:ascii="Cambria Math" w:hAnsi="Cambria Math"/>
                      <w:sz w:val="23"/>
                      <w:szCs w:val="23"/>
                      <w:lang w:val="en-CA"/>
                    </w:rPr>
                    <m:t>pop</m:t>
                  </m:r>
                </m:e>
                <m:sub>
                  <m:r>
                    <m:rPr>
                      <m:sty m:val="p"/>
                    </m:rPr>
                    <w:rPr>
                      <w:rFonts w:ascii="Cambria Math" w:hAnsi="Cambria Math"/>
                      <w:sz w:val="23"/>
                      <w:szCs w:val="23"/>
                      <w:lang w:val="en-CA"/>
                    </w:rPr>
                    <m:t>1,</m:t>
                  </m:r>
                  <m:sSub>
                    <m:sSubPr>
                      <m:ctrlPr>
                        <w:rPr>
                          <w:rFonts w:ascii="Cambria Math" w:hAnsi="Cambria Math"/>
                          <w:b/>
                          <w:sz w:val="23"/>
                          <w:szCs w:val="23"/>
                          <w:lang w:val="en-CA"/>
                        </w:rPr>
                      </m:ctrlPr>
                    </m:sSubPr>
                    <m:e>
                      <m:r>
                        <m:rPr>
                          <m:sty m:val="b"/>
                        </m:rPr>
                        <w:rPr>
                          <w:rFonts w:ascii="Cambria Math" w:hAnsi="Cambria Math"/>
                          <w:sz w:val="23"/>
                          <w:szCs w:val="23"/>
                          <w:lang w:val="en-CA"/>
                        </w:rPr>
                        <m:t>T</m:t>
                      </m:r>
                    </m:e>
                    <m:sub>
                      <m:r>
                        <m:rPr>
                          <m:sty m:val="b"/>
                        </m:rPr>
                        <w:rPr>
                          <w:rFonts w:ascii="Cambria Math" w:hAnsi="Cambria Math"/>
                          <w:sz w:val="23"/>
                          <w:szCs w:val="23"/>
                          <w:lang w:val="en-CA"/>
                        </w:rPr>
                        <m:t>2</m:t>
                      </m:r>
                    </m:sub>
                  </m:sSub>
                </m:sub>
              </m:sSub>
            </m:e>
          </m:d>
          <m:r>
            <m:rPr>
              <m:sty m:val="p"/>
            </m:rPr>
            <w:rPr>
              <w:rFonts w:ascii="Cambria Math" w:hAnsi="Cambria Math"/>
              <w:sz w:val="23"/>
              <w:szCs w:val="23"/>
              <w:lang w:val="en-CA"/>
            </w:rPr>
            <m:t xml:space="preserve">= </m:t>
          </m:r>
          <m:f>
            <m:fPr>
              <m:ctrlPr>
                <w:rPr>
                  <w:rFonts w:ascii="Cambria Math" w:hAnsi="Cambria Math"/>
                  <w:sz w:val="23"/>
                  <w:szCs w:val="23"/>
                  <w:lang w:val="en-CA"/>
                </w:rPr>
              </m:ctrlPr>
            </m:fPr>
            <m:num>
              <m:r>
                <m:rPr>
                  <m:sty m:val="p"/>
                </m:rPr>
                <w:rPr>
                  <w:rFonts w:ascii="Cambria Math" w:hAnsi="Cambria Math"/>
                  <w:sz w:val="23"/>
                  <w:szCs w:val="23"/>
                  <w:lang w:val="en-CA"/>
                </w:rPr>
                <m:t>1</m:t>
              </m:r>
            </m:num>
            <m:den>
              <m:r>
                <m:rPr>
                  <m:sty m:val="p"/>
                </m:rPr>
                <w:rPr>
                  <w:rFonts w:ascii="Cambria Math" w:hAnsi="Cambria Math"/>
                  <w:sz w:val="23"/>
                  <w:szCs w:val="23"/>
                  <w:lang w:val="en-CA"/>
                </w:rPr>
                <m:t>4</m:t>
              </m:r>
            </m:den>
          </m:f>
          <m:r>
            <m:rPr>
              <m:sty m:val="p"/>
            </m:rPr>
            <w:rPr>
              <w:rFonts w:ascii="Cambria Math" w:hAnsi="Cambria Math"/>
              <w:sz w:val="23"/>
              <w:szCs w:val="23"/>
              <w:lang w:val="en-CA"/>
            </w:rPr>
            <m:t>×</m:t>
          </m:r>
          <m:d>
            <m:dPr>
              <m:ctrlPr>
                <w:rPr>
                  <w:rFonts w:ascii="Cambria Math" w:hAnsi="Cambria Math"/>
                  <w:sz w:val="23"/>
                  <w:szCs w:val="23"/>
                  <w:lang w:val="en-CA"/>
                </w:rPr>
              </m:ctrlPr>
            </m:dPr>
            <m:e>
              <m:d>
                <m:dPr>
                  <m:ctrlPr>
                    <w:rPr>
                      <w:rFonts w:ascii="Cambria Math" w:hAnsi="Cambria Math"/>
                      <w:sz w:val="23"/>
                      <w:szCs w:val="23"/>
                      <w:lang w:val="en-CA"/>
                    </w:rPr>
                  </m:ctrlPr>
                </m:dPr>
                <m:e>
                  <m:f>
                    <m:fPr>
                      <m:ctrlPr>
                        <w:rPr>
                          <w:rFonts w:ascii="Cambria Math" w:hAnsi="Cambria Math"/>
                          <w:sz w:val="23"/>
                          <w:szCs w:val="23"/>
                          <w:lang w:val="en-CA"/>
                        </w:rPr>
                      </m:ctrlPr>
                    </m:fPr>
                    <m:num>
                      <m:r>
                        <m:rPr>
                          <m:sty m:val="p"/>
                        </m:rPr>
                        <w:rPr>
                          <w:rFonts w:ascii="Cambria Math" w:hAnsi="Cambria Math"/>
                          <w:sz w:val="23"/>
                          <w:szCs w:val="23"/>
                          <w:lang w:val="en-CA"/>
                        </w:rPr>
                        <m:t>4</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f>
                    <m:fPr>
                      <m:ctrlPr>
                        <w:rPr>
                          <w:rFonts w:ascii="Cambria Math" w:hAnsi="Cambria Math"/>
                          <w:sz w:val="23"/>
                          <w:szCs w:val="23"/>
                          <w:lang w:val="en-CA"/>
                        </w:rPr>
                      </m:ctrlPr>
                    </m:fPr>
                    <m:num>
                      <m:r>
                        <m:rPr>
                          <m:sty m:val="p"/>
                        </m:rPr>
                        <w:rPr>
                          <w:rFonts w:ascii="Cambria Math" w:hAnsi="Cambria Math"/>
                          <w:sz w:val="23"/>
                          <w:szCs w:val="23"/>
                          <w:lang w:val="en-CA"/>
                        </w:rPr>
                        <m:t>2</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e>
              </m:d>
              <m:r>
                <m:rPr>
                  <m:sty m:val="p"/>
                </m:rPr>
                <w:rPr>
                  <w:rFonts w:ascii="Cambria Math" w:hAnsi="Cambria Math"/>
                  <w:sz w:val="23"/>
                  <w:szCs w:val="23"/>
                  <w:lang w:val="en-CA"/>
                </w:rPr>
                <m:t>+</m:t>
              </m:r>
              <m:d>
                <m:dPr>
                  <m:ctrlPr>
                    <w:rPr>
                      <w:rFonts w:ascii="Cambria Math" w:hAnsi="Cambria Math"/>
                      <w:sz w:val="23"/>
                      <w:szCs w:val="23"/>
                      <w:lang w:val="en-CA"/>
                    </w:rPr>
                  </m:ctrlPr>
                </m:dPr>
                <m:e>
                  <m:f>
                    <m:fPr>
                      <m:ctrlPr>
                        <w:rPr>
                          <w:rFonts w:ascii="Cambria Math" w:hAnsi="Cambria Math"/>
                          <w:sz w:val="23"/>
                          <w:szCs w:val="23"/>
                          <w:lang w:val="en-CA"/>
                        </w:rPr>
                      </m:ctrlPr>
                    </m:fPr>
                    <m:num>
                      <m:r>
                        <m:rPr>
                          <m:sty m:val="p"/>
                        </m:rPr>
                        <w:rPr>
                          <w:rFonts w:ascii="Cambria Math" w:hAnsi="Cambria Math"/>
                          <w:sz w:val="23"/>
                          <w:szCs w:val="23"/>
                          <w:lang w:val="en-CA"/>
                        </w:rPr>
                        <m:t>4</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f>
                    <m:fPr>
                      <m:ctrlPr>
                        <w:rPr>
                          <w:rFonts w:ascii="Cambria Math" w:hAnsi="Cambria Math"/>
                          <w:sz w:val="23"/>
                          <w:szCs w:val="23"/>
                          <w:lang w:val="en-CA"/>
                        </w:rPr>
                      </m:ctrlPr>
                    </m:fPr>
                    <m:num>
                      <m:r>
                        <m:rPr>
                          <m:sty m:val="p"/>
                        </m:rPr>
                        <w:rPr>
                          <w:rFonts w:ascii="Cambria Math" w:hAnsi="Cambria Math"/>
                          <w:sz w:val="23"/>
                          <w:szCs w:val="23"/>
                          <w:lang w:val="en-CA"/>
                        </w:rPr>
                        <m:t>3</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e>
              </m:d>
              <m:r>
                <m:rPr>
                  <m:sty m:val="p"/>
                </m:rPr>
                <w:rPr>
                  <w:rFonts w:ascii="Cambria Math" w:hAnsi="Cambria Math"/>
                  <w:sz w:val="23"/>
                  <w:szCs w:val="23"/>
                  <w:lang w:val="en-CA"/>
                </w:rPr>
                <m:t>+</m:t>
              </m:r>
              <m:d>
                <m:dPr>
                  <m:ctrlPr>
                    <w:rPr>
                      <w:rFonts w:ascii="Cambria Math" w:hAnsi="Cambria Math"/>
                      <w:sz w:val="23"/>
                      <w:szCs w:val="23"/>
                      <w:lang w:val="en-CA"/>
                    </w:rPr>
                  </m:ctrlPr>
                </m:dPr>
                <m:e>
                  <m:f>
                    <m:fPr>
                      <m:ctrlPr>
                        <w:rPr>
                          <w:rFonts w:ascii="Cambria Math" w:hAnsi="Cambria Math"/>
                          <w:sz w:val="23"/>
                          <w:szCs w:val="23"/>
                          <w:lang w:val="en-CA"/>
                        </w:rPr>
                      </m:ctrlPr>
                    </m:fPr>
                    <m:num>
                      <m:r>
                        <m:rPr>
                          <m:sty m:val="p"/>
                        </m:rPr>
                        <w:rPr>
                          <w:rFonts w:ascii="Cambria Math" w:hAnsi="Cambria Math"/>
                          <w:sz w:val="23"/>
                          <w:szCs w:val="23"/>
                          <w:lang w:val="en-CA"/>
                        </w:rPr>
                        <m:t>4</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f>
                    <m:fPr>
                      <m:ctrlPr>
                        <w:rPr>
                          <w:rFonts w:ascii="Cambria Math" w:hAnsi="Cambria Math"/>
                          <w:sz w:val="23"/>
                          <w:szCs w:val="23"/>
                          <w:lang w:val="en-CA"/>
                        </w:rPr>
                      </m:ctrlPr>
                    </m:fPr>
                    <m:num>
                      <m:r>
                        <m:rPr>
                          <m:sty m:val="p"/>
                        </m:rPr>
                        <w:rPr>
                          <w:rFonts w:ascii="Cambria Math" w:hAnsi="Cambria Math"/>
                          <w:sz w:val="23"/>
                          <w:szCs w:val="23"/>
                          <w:lang w:val="en-CA"/>
                        </w:rPr>
                        <m:t>3</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e>
              </m:d>
              <m:r>
                <m:rPr>
                  <m:sty m:val="p"/>
                </m:rPr>
                <w:rPr>
                  <w:rFonts w:ascii="Cambria Math" w:hAnsi="Cambria Math"/>
                  <w:sz w:val="23"/>
                  <w:szCs w:val="23"/>
                  <w:lang w:val="en-CA"/>
                </w:rPr>
                <m:t>+</m:t>
              </m:r>
              <m:d>
                <m:dPr>
                  <m:ctrlPr>
                    <w:rPr>
                      <w:rFonts w:ascii="Cambria Math" w:hAnsi="Cambria Math"/>
                      <w:sz w:val="23"/>
                      <w:szCs w:val="23"/>
                      <w:lang w:val="en-CA"/>
                    </w:rPr>
                  </m:ctrlPr>
                </m:dPr>
                <m:e>
                  <m:f>
                    <m:fPr>
                      <m:ctrlPr>
                        <w:rPr>
                          <w:rFonts w:ascii="Cambria Math" w:hAnsi="Cambria Math"/>
                          <w:sz w:val="23"/>
                          <w:szCs w:val="23"/>
                          <w:lang w:val="en-CA"/>
                        </w:rPr>
                      </m:ctrlPr>
                    </m:fPr>
                    <m:num>
                      <m:r>
                        <m:rPr>
                          <m:sty m:val="p"/>
                        </m:rPr>
                        <w:rPr>
                          <w:rFonts w:ascii="Cambria Math" w:hAnsi="Cambria Math"/>
                          <w:sz w:val="23"/>
                          <w:szCs w:val="23"/>
                          <w:lang w:val="en-CA"/>
                        </w:rPr>
                        <m:t>3</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f>
                    <m:fPr>
                      <m:ctrlPr>
                        <w:rPr>
                          <w:rFonts w:ascii="Cambria Math" w:hAnsi="Cambria Math"/>
                          <w:sz w:val="23"/>
                          <w:szCs w:val="23"/>
                          <w:lang w:val="en-CA"/>
                        </w:rPr>
                      </m:ctrlPr>
                    </m:fPr>
                    <m:num>
                      <m:r>
                        <m:rPr>
                          <m:sty m:val="p"/>
                        </m:rPr>
                        <w:rPr>
                          <w:rFonts w:ascii="Cambria Math" w:hAnsi="Cambria Math"/>
                          <w:sz w:val="23"/>
                          <w:szCs w:val="23"/>
                          <w:lang w:val="en-CA"/>
                        </w:rPr>
                        <m:t>2</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e>
              </m:d>
            </m:e>
          </m:d>
          <m:r>
            <m:rPr>
              <m:sty m:val="p"/>
            </m:rPr>
            <w:rPr>
              <w:rFonts w:ascii="Cambria Math" w:hAnsi="Cambria Math"/>
              <w:sz w:val="23"/>
              <w:szCs w:val="23"/>
              <w:lang w:val="en-CA"/>
            </w:rPr>
            <m:t xml:space="preserve"> </m:t>
          </m:r>
        </m:oMath>
      </m:oMathPara>
    </w:p>
    <w:p w14:paraId="7791FA23" w14:textId="77777777" w:rsidR="004A6FD4" w:rsidRDefault="004A6FD4" w:rsidP="004A6FD4">
      <w:pPr>
        <w:pStyle w:val="NoSpacing"/>
        <w:rPr>
          <w:sz w:val="23"/>
          <w:szCs w:val="23"/>
          <w:lang w:val="en-CA"/>
        </w:rPr>
      </w:pPr>
      <m:oMath>
        <m:r>
          <w:rPr>
            <w:rFonts w:ascii="Cambria Math" w:hAnsi="Cambria Math"/>
            <w:sz w:val="23"/>
            <w:szCs w:val="23"/>
            <w:lang w:val="en-CA"/>
          </w:rPr>
          <m:t>TGI</m:t>
        </m:r>
        <m:d>
          <m:dPr>
            <m:ctrlPr>
              <w:rPr>
                <w:rFonts w:ascii="Cambria Math" w:hAnsi="Cambria Math"/>
                <w:sz w:val="23"/>
                <w:szCs w:val="23"/>
                <w:lang w:val="en-CA"/>
              </w:rPr>
            </m:ctrlPr>
          </m:dPr>
          <m:e>
            <m:sSub>
              <m:sSubPr>
                <m:ctrlPr>
                  <w:rPr>
                    <w:rFonts w:ascii="Cambria Math" w:hAnsi="Cambria Math"/>
                    <w:sz w:val="23"/>
                    <w:szCs w:val="23"/>
                    <w:lang w:val="en-CA"/>
                  </w:rPr>
                </m:ctrlPr>
              </m:sSubPr>
              <m:e>
                <m:r>
                  <w:rPr>
                    <w:rFonts w:ascii="Cambria Math" w:hAnsi="Cambria Math"/>
                    <w:sz w:val="23"/>
                    <w:szCs w:val="23"/>
                    <w:lang w:val="en-CA"/>
                  </w:rPr>
                  <m:t>pop</m:t>
                </m:r>
              </m:e>
              <m:sub>
                <m:r>
                  <m:rPr>
                    <m:sty m:val="p"/>
                  </m:rPr>
                  <w:rPr>
                    <w:rFonts w:ascii="Cambria Math" w:hAnsi="Cambria Math"/>
                    <w:sz w:val="23"/>
                    <w:szCs w:val="23"/>
                    <w:lang w:val="en-CA"/>
                  </w:rPr>
                  <m:t>1</m:t>
                </m:r>
              </m:sub>
            </m:sSub>
          </m:e>
        </m:d>
        <m:r>
          <m:rPr>
            <m:sty m:val="p"/>
          </m:rPr>
          <w:rPr>
            <w:rFonts w:ascii="Cambria Math" w:hAnsi="Cambria Math"/>
            <w:sz w:val="23"/>
            <w:szCs w:val="23"/>
            <w:lang w:val="en-CA"/>
          </w:rPr>
          <m:t xml:space="preserve">= </m:t>
        </m:r>
        <m:f>
          <m:fPr>
            <m:ctrlPr>
              <w:rPr>
                <w:rFonts w:ascii="Cambria Math" w:hAnsi="Cambria Math"/>
                <w:sz w:val="23"/>
                <w:szCs w:val="23"/>
                <w:lang w:val="en-CA"/>
              </w:rPr>
            </m:ctrlPr>
          </m:fPr>
          <m:num>
            <m:r>
              <m:rPr>
                <m:sty m:val="p"/>
              </m:rPr>
              <w:rPr>
                <w:rFonts w:ascii="Cambria Math" w:hAnsi="Cambria Math"/>
                <w:sz w:val="23"/>
                <w:szCs w:val="23"/>
                <w:lang w:val="en-CA"/>
              </w:rPr>
              <m:t>1</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d>
          <m:dPr>
            <m:ctrlPr>
              <w:rPr>
                <w:rFonts w:ascii="Cambria Math" w:hAnsi="Cambria Math"/>
                <w:sz w:val="23"/>
                <w:szCs w:val="23"/>
                <w:lang w:val="en-CA"/>
              </w:rPr>
            </m:ctrlPr>
          </m:dPr>
          <m:e>
            <m:r>
              <m:rPr>
                <m:sty m:val="p"/>
              </m:rPr>
              <w:rPr>
                <w:rFonts w:ascii="Cambria Math" w:hAnsi="Cambria Math"/>
                <w:sz w:val="23"/>
                <w:szCs w:val="23"/>
                <w:lang w:val="en-CA"/>
              </w:rPr>
              <m:t>0.5+ 0.25+ 0.25+ 0.25</m:t>
            </m:r>
          </m:e>
        </m:d>
        <m:r>
          <m:rPr>
            <m:sty m:val="p"/>
          </m:rPr>
          <w:rPr>
            <w:rFonts w:ascii="Cambria Math" w:hAnsi="Cambria Math"/>
            <w:sz w:val="23"/>
            <w:szCs w:val="23"/>
            <w:lang w:val="en-CA"/>
          </w:rPr>
          <m:t>=0.3125</m:t>
        </m:r>
      </m:oMath>
      <w:r w:rsidRPr="002510AD">
        <w:rPr>
          <w:sz w:val="23"/>
          <w:szCs w:val="23"/>
          <w:lang w:val="en-CA"/>
        </w:rPr>
        <w:t xml:space="preserve"> </w:t>
      </w:r>
    </w:p>
    <w:p w14:paraId="363617D0" w14:textId="77777777" w:rsidR="004A6FD4" w:rsidRDefault="004A6FD4" w:rsidP="004A6FD4">
      <w:pPr>
        <w:pStyle w:val="NoSpacing"/>
        <w:rPr>
          <w:sz w:val="23"/>
          <w:szCs w:val="23"/>
          <w:lang w:val="en-CA"/>
        </w:rPr>
      </w:pPr>
    </w:p>
    <w:p w14:paraId="543C4D38" w14:textId="77777777" w:rsidR="004A6FD4" w:rsidRDefault="004A6FD4" w:rsidP="004A6FD4">
      <w:pPr>
        <w:pStyle w:val="NoSpacing"/>
        <w:rPr>
          <w:sz w:val="23"/>
          <w:szCs w:val="23"/>
          <w:lang w:val="en-CA"/>
        </w:rPr>
      </w:pPr>
    </w:p>
    <w:p w14:paraId="286B4233" w14:textId="77777777" w:rsidR="004A6FD4" w:rsidRDefault="004A6FD4" w:rsidP="004A6FD4">
      <w:pPr>
        <w:pStyle w:val="NoSpacing"/>
        <w:rPr>
          <w:sz w:val="23"/>
          <w:szCs w:val="23"/>
          <w:lang w:val="en-CA"/>
        </w:rPr>
      </w:pPr>
    </w:p>
    <w:tbl>
      <w:tblPr>
        <w:tblStyle w:val="TableGrid32"/>
        <w:tblpPr w:leftFromText="180" w:rightFromText="180" w:vertAnchor="text" w:horzAnchor="page" w:tblpX="3391" w:tblpY="179"/>
        <w:tblW w:w="0" w:type="auto"/>
        <w:tblLook w:val="04A0" w:firstRow="1" w:lastRow="0" w:firstColumn="1" w:lastColumn="0" w:noHBand="0" w:noVBand="1"/>
      </w:tblPr>
      <w:tblGrid>
        <w:gridCol w:w="946"/>
        <w:gridCol w:w="567"/>
        <w:gridCol w:w="567"/>
        <w:gridCol w:w="567"/>
        <w:gridCol w:w="567"/>
        <w:gridCol w:w="567"/>
        <w:gridCol w:w="567"/>
        <w:gridCol w:w="567"/>
        <w:gridCol w:w="567"/>
      </w:tblGrid>
      <w:tr w:rsidR="004A6FD4" w:rsidRPr="004E19FD" w14:paraId="47E6023E" w14:textId="77777777" w:rsidTr="00226A8A">
        <w:trPr>
          <w:trHeight w:val="587"/>
        </w:trPr>
        <w:tc>
          <w:tcPr>
            <w:tcW w:w="946" w:type="dxa"/>
            <w:tcBorders>
              <w:top w:val="nil"/>
              <w:left w:val="nil"/>
              <w:bottom w:val="single" w:sz="18" w:space="0" w:color="auto"/>
              <w:right w:val="single" w:sz="4" w:space="0" w:color="auto"/>
            </w:tcBorders>
          </w:tcPr>
          <w:p w14:paraId="35D764BC"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Locus Allele</w:t>
            </w:r>
          </w:p>
        </w:tc>
        <w:tc>
          <w:tcPr>
            <w:tcW w:w="567" w:type="dxa"/>
            <w:tcBorders>
              <w:top w:val="nil"/>
              <w:left w:val="single" w:sz="4" w:space="0" w:color="auto"/>
              <w:bottom w:val="single" w:sz="18" w:space="0" w:color="auto"/>
              <w:right w:val="nil"/>
            </w:tcBorders>
            <w:vAlign w:val="center"/>
          </w:tcPr>
          <w:p w14:paraId="234061B5"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1</w:t>
            </w:r>
          </w:p>
          <w:p w14:paraId="77F11552"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A</w:t>
            </w:r>
          </w:p>
        </w:tc>
        <w:tc>
          <w:tcPr>
            <w:tcW w:w="567" w:type="dxa"/>
            <w:tcBorders>
              <w:top w:val="nil"/>
              <w:left w:val="nil"/>
              <w:bottom w:val="single" w:sz="18" w:space="0" w:color="auto"/>
              <w:right w:val="single" w:sz="18" w:space="0" w:color="auto"/>
            </w:tcBorders>
            <w:vAlign w:val="center"/>
          </w:tcPr>
          <w:p w14:paraId="76CBF04F"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1</w:t>
            </w:r>
          </w:p>
          <w:p w14:paraId="08CEFAEB"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B</w:t>
            </w:r>
          </w:p>
        </w:tc>
        <w:tc>
          <w:tcPr>
            <w:tcW w:w="567" w:type="dxa"/>
            <w:tcBorders>
              <w:top w:val="nil"/>
              <w:left w:val="single" w:sz="18" w:space="0" w:color="auto"/>
              <w:bottom w:val="single" w:sz="18" w:space="0" w:color="auto"/>
              <w:right w:val="nil"/>
            </w:tcBorders>
            <w:vAlign w:val="center"/>
          </w:tcPr>
          <w:p w14:paraId="077CB25C"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2</w:t>
            </w:r>
          </w:p>
          <w:p w14:paraId="55D3349C"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A</w:t>
            </w:r>
          </w:p>
        </w:tc>
        <w:tc>
          <w:tcPr>
            <w:tcW w:w="567" w:type="dxa"/>
            <w:tcBorders>
              <w:top w:val="nil"/>
              <w:left w:val="nil"/>
              <w:bottom w:val="single" w:sz="18" w:space="0" w:color="auto"/>
              <w:right w:val="single" w:sz="18" w:space="0" w:color="auto"/>
            </w:tcBorders>
            <w:vAlign w:val="center"/>
          </w:tcPr>
          <w:p w14:paraId="22961F90"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2</w:t>
            </w:r>
          </w:p>
          <w:p w14:paraId="74459773"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B</w:t>
            </w:r>
          </w:p>
        </w:tc>
        <w:tc>
          <w:tcPr>
            <w:tcW w:w="567" w:type="dxa"/>
            <w:tcBorders>
              <w:top w:val="nil"/>
              <w:left w:val="single" w:sz="18" w:space="0" w:color="auto"/>
              <w:bottom w:val="single" w:sz="18" w:space="0" w:color="auto"/>
              <w:right w:val="nil"/>
            </w:tcBorders>
            <w:vAlign w:val="center"/>
          </w:tcPr>
          <w:p w14:paraId="2CD00333"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3</w:t>
            </w:r>
          </w:p>
          <w:p w14:paraId="43178F13"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A</w:t>
            </w:r>
          </w:p>
        </w:tc>
        <w:tc>
          <w:tcPr>
            <w:tcW w:w="567" w:type="dxa"/>
            <w:tcBorders>
              <w:top w:val="nil"/>
              <w:left w:val="nil"/>
              <w:bottom w:val="single" w:sz="18" w:space="0" w:color="auto"/>
              <w:right w:val="single" w:sz="18" w:space="0" w:color="auto"/>
            </w:tcBorders>
            <w:vAlign w:val="center"/>
          </w:tcPr>
          <w:p w14:paraId="79D893AE"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3</w:t>
            </w:r>
          </w:p>
          <w:p w14:paraId="04A67ADE"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B</w:t>
            </w:r>
          </w:p>
        </w:tc>
        <w:tc>
          <w:tcPr>
            <w:tcW w:w="567" w:type="dxa"/>
            <w:tcBorders>
              <w:top w:val="nil"/>
              <w:left w:val="single" w:sz="18" w:space="0" w:color="auto"/>
              <w:bottom w:val="single" w:sz="18" w:space="0" w:color="auto"/>
              <w:right w:val="nil"/>
            </w:tcBorders>
            <w:vAlign w:val="center"/>
          </w:tcPr>
          <w:p w14:paraId="01C4457C"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4</w:t>
            </w:r>
          </w:p>
          <w:p w14:paraId="61AA4750"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A</w:t>
            </w:r>
          </w:p>
        </w:tc>
        <w:tc>
          <w:tcPr>
            <w:tcW w:w="567" w:type="dxa"/>
            <w:tcBorders>
              <w:top w:val="nil"/>
              <w:left w:val="nil"/>
              <w:bottom w:val="single" w:sz="18" w:space="0" w:color="auto"/>
              <w:right w:val="nil"/>
            </w:tcBorders>
            <w:vAlign w:val="center"/>
          </w:tcPr>
          <w:p w14:paraId="5C7EBAC7"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4</w:t>
            </w:r>
          </w:p>
          <w:p w14:paraId="04D058A9"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B</w:t>
            </w:r>
          </w:p>
        </w:tc>
      </w:tr>
      <w:tr w:rsidR="004A6FD4" w:rsidRPr="004E19FD" w14:paraId="4769E6BB" w14:textId="77777777" w:rsidTr="00226A8A">
        <w:tc>
          <w:tcPr>
            <w:tcW w:w="946" w:type="dxa"/>
            <w:tcBorders>
              <w:top w:val="single" w:sz="18" w:space="0" w:color="auto"/>
              <w:left w:val="nil"/>
              <w:bottom w:val="nil"/>
            </w:tcBorders>
            <w:shd w:val="clear" w:color="auto" w:fill="auto"/>
          </w:tcPr>
          <w:p w14:paraId="5DF0DCDD" w14:textId="77777777" w:rsidR="004A6FD4" w:rsidRPr="004E19FD" w:rsidRDefault="004A6FD4" w:rsidP="00226A8A">
            <w:pPr>
              <w:widowControl w:val="0"/>
              <w:autoSpaceDE w:val="0"/>
              <w:autoSpaceDN w:val="0"/>
              <w:adjustRightInd w:val="0"/>
              <w:spacing w:before="0" w:after="0" w:line="240" w:lineRule="auto"/>
              <w:rPr>
                <w:b/>
                <w:szCs w:val="24"/>
                <w:lang w:val="en-CA"/>
              </w:rPr>
            </w:pPr>
            <w:r w:rsidRPr="004E19FD">
              <w:rPr>
                <w:b/>
                <w:szCs w:val="24"/>
                <w:lang w:val="en-CA"/>
              </w:rPr>
              <w:t>Pop. 1</w:t>
            </w:r>
          </w:p>
        </w:tc>
        <w:tc>
          <w:tcPr>
            <w:tcW w:w="567" w:type="dxa"/>
            <w:tcBorders>
              <w:top w:val="single" w:sz="18" w:space="0" w:color="auto"/>
              <w:bottom w:val="nil"/>
              <w:right w:val="nil"/>
            </w:tcBorders>
            <w:shd w:val="clear" w:color="auto" w:fill="auto"/>
          </w:tcPr>
          <w:p w14:paraId="7C55EA0A"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single" w:sz="18" w:space="0" w:color="auto"/>
              <w:left w:val="nil"/>
              <w:bottom w:val="nil"/>
              <w:right w:val="single" w:sz="18" w:space="0" w:color="auto"/>
            </w:tcBorders>
            <w:shd w:val="clear" w:color="auto" w:fill="auto"/>
          </w:tcPr>
          <w:p w14:paraId="07008715"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single" w:sz="18" w:space="0" w:color="auto"/>
              <w:left w:val="single" w:sz="18" w:space="0" w:color="auto"/>
              <w:bottom w:val="nil"/>
              <w:right w:val="nil"/>
            </w:tcBorders>
            <w:shd w:val="clear" w:color="auto" w:fill="auto"/>
          </w:tcPr>
          <w:p w14:paraId="3A4AF770"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single" w:sz="18" w:space="0" w:color="auto"/>
              <w:left w:val="nil"/>
              <w:bottom w:val="nil"/>
              <w:right w:val="single" w:sz="18" w:space="0" w:color="auto"/>
            </w:tcBorders>
            <w:shd w:val="clear" w:color="auto" w:fill="auto"/>
          </w:tcPr>
          <w:p w14:paraId="6903501D"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single" w:sz="18" w:space="0" w:color="auto"/>
              <w:left w:val="single" w:sz="18" w:space="0" w:color="auto"/>
              <w:bottom w:val="nil"/>
              <w:right w:val="nil"/>
            </w:tcBorders>
            <w:shd w:val="clear" w:color="auto" w:fill="auto"/>
          </w:tcPr>
          <w:p w14:paraId="3F254CDD"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single" w:sz="18" w:space="0" w:color="auto"/>
              <w:left w:val="nil"/>
              <w:bottom w:val="nil"/>
              <w:right w:val="single" w:sz="18" w:space="0" w:color="auto"/>
            </w:tcBorders>
            <w:shd w:val="clear" w:color="auto" w:fill="auto"/>
          </w:tcPr>
          <w:p w14:paraId="15029C72"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single" w:sz="18" w:space="0" w:color="auto"/>
              <w:left w:val="single" w:sz="18" w:space="0" w:color="auto"/>
              <w:bottom w:val="nil"/>
              <w:right w:val="nil"/>
            </w:tcBorders>
            <w:shd w:val="clear" w:color="auto" w:fill="auto"/>
          </w:tcPr>
          <w:p w14:paraId="203872F2"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single" w:sz="18" w:space="0" w:color="auto"/>
              <w:left w:val="nil"/>
              <w:bottom w:val="nil"/>
              <w:right w:val="nil"/>
            </w:tcBorders>
            <w:shd w:val="clear" w:color="auto" w:fill="auto"/>
          </w:tcPr>
          <w:p w14:paraId="309E63DD"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r>
      <w:tr w:rsidR="004A6FD4" w:rsidRPr="004E19FD" w14:paraId="699ACE45" w14:textId="77777777" w:rsidTr="00226A8A">
        <w:tc>
          <w:tcPr>
            <w:tcW w:w="946" w:type="dxa"/>
            <w:tcBorders>
              <w:top w:val="nil"/>
              <w:left w:val="nil"/>
              <w:bottom w:val="nil"/>
            </w:tcBorders>
          </w:tcPr>
          <w:p w14:paraId="44C57EC8" w14:textId="77777777" w:rsidR="004A6FD4" w:rsidRPr="004E19FD" w:rsidRDefault="004A6FD4" w:rsidP="00226A8A">
            <w:pPr>
              <w:widowControl w:val="0"/>
              <w:autoSpaceDE w:val="0"/>
              <w:autoSpaceDN w:val="0"/>
              <w:adjustRightInd w:val="0"/>
              <w:spacing w:before="0" w:after="0" w:line="240" w:lineRule="auto"/>
              <w:rPr>
                <w:b/>
                <w:szCs w:val="24"/>
                <w:lang w:val="en-CA"/>
              </w:rPr>
            </w:pPr>
            <w:r w:rsidRPr="004E19FD">
              <w:rPr>
                <w:b/>
                <w:szCs w:val="24"/>
                <w:lang w:val="en-CA"/>
              </w:rPr>
              <w:t>Pop. 2</w:t>
            </w:r>
          </w:p>
        </w:tc>
        <w:tc>
          <w:tcPr>
            <w:tcW w:w="567" w:type="dxa"/>
            <w:tcBorders>
              <w:top w:val="nil"/>
              <w:bottom w:val="nil"/>
              <w:right w:val="nil"/>
            </w:tcBorders>
          </w:tcPr>
          <w:p w14:paraId="679D993E"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single" w:sz="18" w:space="0" w:color="auto"/>
            </w:tcBorders>
          </w:tcPr>
          <w:p w14:paraId="240CD084"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single" w:sz="18" w:space="0" w:color="auto"/>
              <w:bottom w:val="nil"/>
              <w:right w:val="nil"/>
            </w:tcBorders>
          </w:tcPr>
          <w:p w14:paraId="1AA82E7F"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single" w:sz="18" w:space="0" w:color="auto"/>
            </w:tcBorders>
          </w:tcPr>
          <w:p w14:paraId="410C901C"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single" w:sz="18" w:space="0" w:color="auto"/>
              <w:bottom w:val="nil"/>
              <w:right w:val="nil"/>
            </w:tcBorders>
          </w:tcPr>
          <w:p w14:paraId="1A015113"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2</w:t>
            </w:r>
          </w:p>
        </w:tc>
        <w:tc>
          <w:tcPr>
            <w:tcW w:w="567" w:type="dxa"/>
            <w:tcBorders>
              <w:top w:val="nil"/>
              <w:left w:val="nil"/>
              <w:bottom w:val="nil"/>
              <w:right w:val="single" w:sz="18" w:space="0" w:color="auto"/>
            </w:tcBorders>
          </w:tcPr>
          <w:p w14:paraId="3F9003A5"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2</w:t>
            </w:r>
          </w:p>
        </w:tc>
        <w:tc>
          <w:tcPr>
            <w:tcW w:w="567" w:type="dxa"/>
            <w:tcBorders>
              <w:top w:val="nil"/>
              <w:left w:val="single" w:sz="18" w:space="0" w:color="auto"/>
              <w:bottom w:val="nil"/>
              <w:right w:val="nil"/>
            </w:tcBorders>
          </w:tcPr>
          <w:p w14:paraId="12E89E32"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nil"/>
              <w:bottom w:val="nil"/>
              <w:right w:val="nil"/>
            </w:tcBorders>
          </w:tcPr>
          <w:p w14:paraId="0109A20F"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r>
      <w:tr w:rsidR="004A6FD4" w:rsidRPr="004E19FD" w14:paraId="067FE83A" w14:textId="77777777" w:rsidTr="00226A8A">
        <w:tc>
          <w:tcPr>
            <w:tcW w:w="946" w:type="dxa"/>
            <w:tcBorders>
              <w:top w:val="nil"/>
              <w:left w:val="nil"/>
              <w:bottom w:val="nil"/>
            </w:tcBorders>
          </w:tcPr>
          <w:p w14:paraId="72E82F71" w14:textId="77777777" w:rsidR="004A6FD4" w:rsidRPr="004E19FD" w:rsidRDefault="004A6FD4" w:rsidP="00226A8A">
            <w:pPr>
              <w:widowControl w:val="0"/>
              <w:autoSpaceDE w:val="0"/>
              <w:autoSpaceDN w:val="0"/>
              <w:adjustRightInd w:val="0"/>
              <w:spacing w:before="0" w:after="0" w:line="240" w:lineRule="auto"/>
              <w:rPr>
                <w:b/>
                <w:szCs w:val="24"/>
                <w:lang w:val="en-CA"/>
              </w:rPr>
            </w:pPr>
            <w:r w:rsidRPr="004E19FD">
              <w:rPr>
                <w:b/>
                <w:szCs w:val="24"/>
                <w:lang w:val="en-CA"/>
              </w:rPr>
              <w:t>Pop. 3</w:t>
            </w:r>
          </w:p>
        </w:tc>
        <w:tc>
          <w:tcPr>
            <w:tcW w:w="567" w:type="dxa"/>
            <w:tcBorders>
              <w:top w:val="nil"/>
              <w:bottom w:val="nil"/>
              <w:right w:val="nil"/>
            </w:tcBorders>
          </w:tcPr>
          <w:p w14:paraId="5070E973"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single" w:sz="18" w:space="0" w:color="auto"/>
            </w:tcBorders>
          </w:tcPr>
          <w:p w14:paraId="16B8D418"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single" w:sz="18" w:space="0" w:color="auto"/>
              <w:bottom w:val="nil"/>
              <w:right w:val="nil"/>
            </w:tcBorders>
          </w:tcPr>
          <w:p w14:paraId="4BAD6519"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single" w:sz="18" w:space="0" w:color="auto"/>
            </w:tcBorders>
          </w:tcPr>
          <w:p w14:paraId="560C5BC1"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single" w:sz="18" w:space="0" w:color="auto"/>
              <w:bottom w:val="nil"/>
              <w:right w:val="nil"/>
            </w:tcBorders>
          </w:tcPr>
          <w:p w14:paraId="3328D5A1"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single" w:sz="18" w:space="0" w:color="auto"/>
            </w:tcBorders>
          </w:tcPr>
          <w:p w14:paraId="40984526"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single" w:sz="18" w:space="0" w:color="auto"/>
              <w:bottom w:val="nil"/>
              <w:right w:val="nil"/>
            </w:tcBorders>
          </w:tcPr>
          <w:p w14:paraId="2CA19D78"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nil"/>
            </w:tcBorders>
          </w:tcPr>
          <w:p w14:paraId="4F22D631"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r>
      <w:tr w:rsidR="004A6FD4" w:rsidRPr="004E19FD" w14:paraId="70DCE694" w14:textId="77777777" w:rsidTr="00226A8A">
        <w:tc>
          <w:tcPr>
            <w:tcW w:w="946" w:type="dxa"/>
            <w:tcBorders>
              <w:top w:val="nil"/>
              <w:left w:val="nil"/>
              <w:bottom w:val="nil"/>
            </w:tcBorders>
          </w:tcPr>
          <w:p w14:paraId="73FCA50D" w14:textId="77777777" w:rsidR="004A6FD4" w:rsidRPr="004E19FD" w:rsidRDefault="004A6FD4" w:rsidP="00226A8A">
            <w:pPr>
              <w:widowControl w:val="0"/>
              <w:autoSpaceDE w:val="0"/>
              <w:autoSpaceDN w:val="0"/>
              <w:adjustRightInd w:val="0"/>
              <w:spacing w:before="0" w:after="0" w:line="240" w:lineRule="auto"/>
              <w:rPr>
                <w:b/>
                <w:szCs w:val="24"/>
                <w:lang w:val="en-CA"/>
              </w:rPr>
            </w:pPr>
            <w:r w:rsidRPr="004E19FD">
              <w:rPr>
                <w:b/>
                <w:szCs w:val="24"/>
                <w:lang w:val="en-CA"/>
              </w:rPr>
              <w:t>Pop. 4</w:t>
            </w:r>
          </w:p>
        </w:tc>
        <w:tc>
          <w:tcPr>
            <w:tcW w:w="567" w:type="dxa"/>
            <w:tcBorders>
              <w:top w:val="nil"/>
              <w:bottom w:val="nil"/>
              <w:right w:val="nil"/>
            </w:tcBorders>
          </w:tcPr>
          <w:p w14:paraId="3E54D577"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single" w:sz="18" w:space="0" w:color="auto"/>
            </w:tcBorders>
          </w:tcPr>
          <w:p w14:paraId="578E05E1"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single" w:sz="18" w:space="0" w:color="auto"/>
              <w:bottom w:val="nil"/>
              <w:right w:val="nil"/>
            </w:tcBorders>
          </w:tcPr>
          <w:p w14:paraId="7E8465CC"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single" w:sz="18" w:space="0" w:color="auto"/>
            </w:tcBorders>
          </w:tcPr>
          <w:p w14:paraId="384233E1"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single" w:sz="18" w:space="0" w:color="auto"/>
              <w:bottom w:val="nil"/>
              <w:right w:val="nil"/>
            </w:tcBorders>
          </w:tcPr>
          <w:p w14:paraId="5ECD0073"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single" w:sz="18" w:space="0" w:color="auto"/>
            </w:tcBorders>
          </w:tcPr>
          <w:p w14:paraId="79972114"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single" w:sz="18" w:space="0" w:color="auto"/>
              <w:bottom w:val="nil"/>
              <w:right w:val="nil"/>
            </w:tcBorders>
          </w:tcPr>
          <w:p w14:paraId="35DCEC49"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nil"/>
            </w:tcBorders>
          </w:tcPr>
          <w:p w14:paraId="77617546"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r>
    </w:tbl>
    <w:p w14:paraId="6586A82F" w14:textId="77777777" w:rsidR="004A6FD4" w:rsidRPr="004E19FD" w:rsidRDefault="004A6FD4" w:rsidP="004A6FD4">
      <w:pPr>
        <w:widowControl w:val="0"/>
        <w:autoSpaceDE w:val="0"/>
        <w:autoSpaceDN w:val="0"/>
        <w:adjustRightInd w:val="0"/>
        <w:spacing w:after="240" w:line="276" w:lineRule="auto"/>
        <w:rPr>
          <w:b/>
          <w:bCs w:val="0"/>
          <w:szCs w:val="24"/>
          <w:lang w:val="en-CA"/>
        </w:rPr>
      </w:pPr>
      <w:r w:rsidRPr="004E19FD">
        <w:rPr>
          <w:b/>
          <w:bCs w:val="0"/>
          <w:szCs w:val="24"/>
          <w:lang w:val="en-CA"/>
        </w:rPr>
        <w:t>B)</w:t>
      </w:r>
    </w:p>
    <w:p w14:paraId="79EF0CFB" w14:textId="77777777" w:rsidR="004A6FD4" w:rsidRPr="004E19FD" w:rsidRDefault="004A6FD4" w:rsidP="004A6FD4">
      <w:pPr>
        <w:widowControl w:val="0"/>
        <w:autoSpaceDE w:val="0"/>
        <w:autoSpaceDN w:val="0"/>
        <w:adjustRightInd w:val="0"/>
        <w:spacing w:after="240" w:line="276" w:lineRule="auto"/>
        <w:rPr>
          <w:b/>
          <w:bCs w:val="0"/>
          <w:szCs w:val="24"/>
          <w:lang w:val="en-CA"/>
        </w:rPr>
      </w:pPr>
    </w:p>
    <w:p w14:paraId="62D1E754" w14:textId="77777777" w:rsidR="004A6FD4" w:rsidRPr="004E19FD" w:rsidRDefault="004A6FD4" w:rsidP="004A6FD4">
      <w:pPr>
        <w:widowControl w:val="0"/>
        <w:autoSpaceDE w:val="0"/>
        <w:autoSpaceDN w:val="0"/>
        <w:adjustRightInd w:val="0"/>
        <w:spacing w:after="240" w:line="276" w:lineRule="auto"/>
        <w:rPr>
          <w:b/>
          <w:bCs w:val="0"/>
          <w:szCs w:val="24"/>
          <w:lang w:val="en-CA"/>
        </w:rPr>
      </w:pPr>
    </w:p>
    <w:p w14:paraId="29A45BF5" w14:textId="77777777" w:rsidR="004A6FD4" w:rsidRPr="004E19FD" w:rsidRDefault="004A6FD4" w:rsidP="004A6FD4">
      <w:pPr>
        <w:widowControl w:val="0"/>
        <w:autoSpaceDE w:val="0"/>
        <w:autoSpaceDN w:val="0"/>
        <w:adjustRightInd w:val="0"/>
        <w:spacing w:after="240" w:line="276" w:lineRule="auto"/>
        <w:rPr>
          <w:b/>
          <w:bCs w:val="0"/>
          <w:szCs w:val="24"/>
          <w:lang w:val="en-CA"/>
        </w:rPr>
      </w:pPr>
    </w:p>
    <w:p w14:paraId="216882B3" w14:textId="77777777" w:rsidR="004A6FD4" w:rsidRPr="004E19FD" w:rsidRDefault="004A6FD4" w:rsidP="004A6FD4">
      <w:pPr>
        <w:widowControl w:val="0"/>
        <w:autoSpaceDE w:val="0"/>
        <w:autoSpaceDN w:val="0"/>
        <w:adjustRightInd w:val="0"/>
        <w:spacing w:after="240" w:line="276" w:lineRule="auto"/>
        <w:rPr>
          <w:szCs w:val="24"/>
          <w:lang w:val="en-CA"/>
        </w:rPr>
      </w:pPr>
      <w:r w:rsidRPr="004E19FD">
        <w:rPr>
          <w:szCs w:val="24"/>
          <w:u w:val="single"/>
          <w:lang w:val="en-CA"/>
        </w:rPr>
        <w:t xml:space="preserve">Permutation example: </w:t>
      </w:r>
      <w:r w:rsidRPr="004E19FD">
        <w:rPr>
          <w:szCs w:val="24"/>
          <w:lang w:val="en-CA"/>
        </w:rPr>
        <w:t>this is done for both surveys and repeated 999 times to create the test for TGI. Permutation index 2, 4, 1, 3.</w:t>
      </w:r>
    </w:p>
    <w:tbl>
      <w:tblPr>
        <w:tblStyle w:val="TableGrid32"/>
        <w:tblpPr w:leftFromText="180" w:rightFromText="180" w:vertAnchor="text" w:horzAnchor="page" w:tblpX="3406" w:tblpYSpec="bottom"/>
        <w:tblW w:w="0" w:type="auto"/>
        <w:tblLook w:val="04A0" w:firstRow="1" w:lastRow="0" w:firstColumn="1" w:lastColumn="0" w:noHBand="0" w:noVBand="1"/>
      </w:tblPr>
      <w:tblGrid>
        <w:gridCol w:w="946"/>
        <w:gridCol w:w="567"/>
        <w:gridCol w:w="567"/>
        <w:gridCol w:w="567"/>
        <w:gridCol w:w="567"/>
        <w:gridCol w:w="567"/>
        <w:gridCol w:w="567"/>
        <w:gridCol w:w="567"/>
        <w:gridCol w:w="567"/>
      </w:tblGrid>
      <w:tr w:rsidR="004A6FD4" w:rsidRPr="004E19FD" w14:paraId="6041C9B8" w14:textId="77777777" w:rsidTr="00226A8A">
        <w:trPr>
          <w:trHeight w:val="587"/>
        </w:trPr>
        <w:tc>
          <w:tcPr>
            <w:tcW w:w="946" w:type="dxa"/>
            <w:tcBorders>
              <w:top w:val="nil"/>
              <w:left w:val="nil"/>
              <w:bottom w:val="single" w:sz="18" w:space="0" w:color="auto"/>
              <w:right w:val="single" w:sz="4" w:space="0" w:color="auto"/>
            </w:tcBorders>
          </w:tcPr>
          <w:p w14:paraId="416AC573"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Locus Allele</w:t>
            </w:r>
          </w:p>
        </w:tc>
        <w:tc>
          <w:tcPr>
            <w:tcW w:w="567" w:type="dxa"/>
            <w:tcBorders>
              <w:top w:val="nil"/>
              <w:left w:val="single" w:sz="4" w:space="0" w:color="auto"/>
              <w:bottom w:val="single" w:sz="18" w:space="0" w:color="auto"/>
              <w:right w:val="nil"/>
            </w:tcBorders>
            <w:vAlign w:val="center"/>
          </w:tcPr>
          <w:p w14:paraId="38259E00"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1</w:t>
            </w:r>
          </w:p>
          <w:p w14:paraId="162B3BF2"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A</w:t>
            </w:r>
          </w:p>
        </w:tc>
        <w:tc>
          <w:tcPr>
            <w:tcW w:w="567" w:type="dxa"/>
            <w:tcBorders>
              <w:top w:val="nil"/>
              <w:left w:val="nil"/>
              <w:bottom w:val="single" w:sz="18" w:space="0" w:color="auto"/>
              <w:right w:val="single" w:sz="18" w:space="0" w:color="auto"/>
            </w:tcBorders>
            <w:vAlign w:val="center"/>
          </w:tcPr>
          <w:p w14:paraId="13A77381"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1</w:t>
            </w:r>
          </w:p>
          <w:p w14:paraId="1A06E55F"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B</w:t>
            </w:r>
          </w:p>
        </w:tc>
        <w:tc>
          <w:tcPr>
            <w:tcW w:w="567" w:type="dxa"/>
            <w:tcBorders>
              <w:top w:val="nil"/>
              <w:left w:val="single" w:sz="18" w:space="0" w:color="auto"/>
              <w:bottom w:val="single" w:sz="18" w:space="0" w:color="auto"/>
              <w:right w:val="nil"/>
            </w:tcBorders>
            <w:vAlign w:val="center"/>
          </w:tcPr>
          <w:p w14:paraId="159A2842"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2</w:t>
            </w:r>
          </w:p>
          <w:p w14:paraId="56072F09"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A</w:t>
            </w:r>
          </w:p>
        </w:tc>
        <w:tc>
          <w:tcPr>
            <w:tcW w:w="567" w:type="dxa"/>
            <w:tcBorders>
              <w:top w:val="nil"/>
              <w:left w:val="nil"/>
              <w:bottom w:val="single" w:sz="18" w:space="0" w:color="auto"/>
              <w:right w:val="single" w:sz="18" w:space="0" w:color="auto"/>
            </w:tcBorders>
            <w:vAlign w:val="center"/>
          </w:tcPr>
          <w:p w14:paraId="6CA45BE9"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2</w:t>
            </w:r>
          </w:p>
          <w:p w14:paraId="7866EC35"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B</w:t>
            </w:r>
          </w:p>
        </w:tc>
        <w:tc>
          <w:tcPr>
            <w:tcW w:w="567" w:type="dxa"/>
            <w:tcBorders>
              <w:top w:val="nil"/>
              <w:left w:val="single" w:sz="18" w:space="0" w:color="auto"/>
              <w:bottom w:val="single" w:sz="18" w:space="0" w:color="auto"/>
              <w:right w:val="nil"/>
            </w:tcBorders>
            <w:vAlign w:val="center"/>
          </w:tcPr>
          <w:p w14:paraId="1F80A31E"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3</w:t>
            </w:r>
          </w:p>
          <w:p w14:paraId="24FE851A"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A</w:t>
            </w:r>
          </w:p>
        </w:tc>
        <w:tc>
          <w:tcPr>
            <w:tcW w:w="567" w:type="dxa"/>
            <w:tcBorders>
              <w:top w:val="nil"/>
              <w:left w:val="nil"/>
              <w:bottom w:val="single" w:sz="18" w:space="0" w:color="auto"/>
              <w:right w:val="single" w:sz="18" w:space="0" w:color="auto"/>
            </w:tcBorders>
            <w:vAlign w:val="center"/>
          </w:tcPr>
          <w:p w14:paraId="5344E9B2"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3</w:t>
            </w:r>
          </w:p>
          <w:p w14:paraId="15C634CC"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B</w:t>
            </w:r>
          </w:p>
        </w:tc>
        <w:tc>
          <w:tcPr>
            <w:tcW w:w="567" w:type="dxa"/>
            <w:tcBorders>
              <w:top w:val="nil"/>
              <w:left w:val="single" w:sz="18" w:space="0" w:color="auto"/>
              <w:bottom w:val="single" w:sz="18" w:space="0" w:color="auto"/>
              <w:right w:val="nil"/>
            </w:tcBorders>
            <w:vAlign w:val="center"/>
          </w:tcPr>
          <w:p w14:paraId="6FE4357F"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4</w:t>
            </w:r>
          </w:p>
          <w:p w14:paraId="20E53C9A"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A</w:t>
            </w:r>
          </w:p>
        </w:tc>
        <w:tc>
          <w:tcPr>
            <w:tcW w:w="567" w:type="dxa"/>
            <w:tcBorders>
              <w:top w:val="nil"/>
              <w:left w:val="nil"/>
              <w:bottom w:val="single" w:sz="18" w:space="0" w:color="auto"/>
              <w:right w:val="nil"/>
            </w:tcBorders>
            <w:vAlign w:val="center"/>
          </w:tcPr>
          <w:p w14:paraId="1552B657"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4</w:t>
            </w:r>
          </w:p>
          <w:p w14:paraId="2129EBA4"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B</w:t>
            </w:r>
          </w:p>
        </w:tc>
      </w:tr>
      <w:tr w:rsidR="004A6FD4" w:rsidRPr="004E19FD" w14:paraId="25F92F81" w14:textId="77777777" w:rsidTr="00226A8A">
        <w:tc>
          <w:tcPr>
            <w:tcW w:w="946" w:type="dxa"/>
            <w:tcBorders>
              <w:top w:val="single" w:sz="18" w:space="0" w:color="auto"/>
              <w:left w:val="nil"/>
              <w:bottom w:val="nil"/>
            </w:tcBorders>
            <w:shd w:val="clear" w:color="auto" w:fill="auto"/>
          </w:tcPr>
          <w:p w14:paraId="56E47B33" w14:textId="77777777" w:rsidR="004A6FD4" w:rsidRPr="004E19FD" w:rsidRDefault="004A6FD4" w:rsidP="00226A8A">
            <w:pPr>
              <w:widowControl w:val="0"/>
              <w:autoSpaceDE w:val="0"/>
              <w:autoSpaceDN w:val="0"/>
              <w:adjustRightInd w:val="0"/>
              <w:spacing w:before="0" w:after="0" w:line="240" w:lineRule="auto"/>
              <w:rPr>
                <w:b/>
                <w:szCs w:val="24"/>
                <w:lang w:val="en-CA"/>
              </w:rPr>
            </w:pPr>
            <w:r w:rsidRPr="004E19FD">
              <w:rPr>
                <w:b/>
                <w:szCs w:val="24"/>
                <w:lang w:val="en-CA"/>
              </w:rPr>
              <w:t>Pop. 1</w:t>
            </w:r>
          </w:p>
        </w:tc>
        <w:tc>
          <w:tcPr>
            <w:tcW w:w="567" w:type="dxa"/>
            <w:tcBorders>
              <w:top w:val="single" w:sz="18" w:space="0" w:color="auto"/>
              <w:bottom w:val="nil"/>
              <w:right w:val="nil"/>
            </w:tcBorders>
            <w:shd w:val="clear" w:color="auto" w:fill="auto"/>
          </w:tcPr>
          <w:p w14:paraId="165727D3"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single" w:sz="18" w:space="0" w:color="auto"/>
              <w:left w:val="nil"/>
              <w:bottom w:val="nil"/>
              <w:right w:val="single" w:sz="18" w:space="0" w:color="auto"/>
            </w:tcBorders>
            <w:shd w:val="clear" w:color="auto" w:fill="auto"/>
          </w:tcPr>
          <w:p w14:paraId="289F8A64"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single" w:sz="18" w:space="0" w:color="auto"/>
              <w:left w:val="single" w:sz="18" w:space="0" w:color="auto"/>
              <w:bottom w:val="nil"/>
              <w:right w:val="nil"/>
            </w:tcBorders>
            <w:shd w:val="clear" w:color="auto" w:fill="auto"/>
          </w:tcPr>
          <w:p w14:paraId="0B8CF5C6"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single" w:sz="18" w:space="0" w:color="auto"/>
              <w:left w:val="nil"/>
              <w:bottom w:val="nil"/>
              <w:right w:val="single" w:sz="18" w:space="0" w:color="auto"/>
            </w:tcBorders>
            <w:shd w:val="clear" w:color="auto" w:fill="auto"/>
          </w:tcPr>
          <w:p w14:paraId="39BD5F6F"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single" w:sz="18" w:space="0" w:color="auto"/>
              <w:left w:val="single" w:sz="18" w:space="0" w:color="auto"/>
              <w:bottom w:val="nil"/>
              <w:right w:val="nil"/>
            </w:tcBorders>
            <w:shd w:val="clear" w:color="auto" w:fill="auto"/>
          </w:tcPr>
          <w:p w14:paraId="3102E923"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2</w:t>
            </w:r>
          </w:p>
        </w:tc>
        <w:tc>
          <w:tcPr>
            <w:tcW w:w="567" w:type="dxa"/>
            <w:tcBorders>
              <w:top w:val="single" w:sz="18" w:space="0" w:color="auto"/>
              <w:left w:val="nil"/>
              <w:bottom w:val="nil"/>
              <w:right w:val="single" w:sz="18" w:space="0" w:color="auto"/>
            </w:tcBorders>
            <w:shd w:val="clear" w:color="auto" w:fill="auto"/>
          </w:tcPr>
          <w:p w14:paraId="57B6A5F3"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2</w:t>
            </w:r>
          </w:p>
        </w:tc>
        <w:tc>
          <w:tcPr>
            <w:tcW w:w="567" w:type="dxa"/>
            <w:tcBorders>
              <w:top w:val="single" w:sz="18" w:space="0" w:color="auto"/>
              <w:left w:val="single" w:sz="18" w:space="0" w:color="auto"/>
              <w:bottom w:val="nil"/>
              <w:right w:val="nil"/>
            </w:tcBorders>
            <w:shd w:val="clear" w:color="auto" w:fill="auto"/>
          </w:tcPr>
          <w:p w14:paraId="15094B00"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single" w:sz="18" w:space="0" w:color="auto"/>
              <w:left w:val="nil"/>
              <w:bottom w:val="nil"/>
              <w:right w:val="nil"/>
            </w:tcBorders>
            <w:shd w:val="clear" w:color="auto" w:fill="auto"/>
          </w:tcPr>
          <w:p w14:paraId="208EEBCF"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r>
      <w:tr w:rsidR="004A6FD4" w:rsidRPr="004E19FD" w14:paraId="4CC7C7BF" w14:textId="77777777" w:rsidTr="00226A8A">
        <w:tc>
          <w:tcPr>
            <w:tcW w:w="946" w:type="dxa"/>
            <w:tcBorders>
              <w:top w:val="nil"/>
              <w:left w:val="nil"/>
              <w:bottom w:val="nil"/>
            </w:tcBorders>
          </w:tcPr>
          <w:p w14:paraId="63A03064" w14:textId="77777777" w:rsidR="004A6FD4" w:rsidRPr="004E19FD" w:rsidRDefault="004A6FD4" w:rsidP="00226A8A">
            <w:pPr>
              <w:widowControl w:val="0"/>
              <w:autoSpaceDE w:val="0"/>
              <w:autoSpaceDN w:val="0"/>
              <w:adjustRightInd w:val="0"/>
              <w:spacing w:before="0" w:after="0" w:line="240" w:lineRule="auto"/>
              <w:rPr>
                <w:b/>
                <w:szCs w:val="24"/>
                <w:lang w:val="en-CA"/>
              </w:rPr>
            </w:pPr>
            <w:r w:rsidRPr="004E19FD">
              <w:rPr>
                <w:b/>
                <w:szCs w:val="24"/>
                <w:lang w:val="en-CA"/>
              </w:rPr>
              <w:t>Pop. 2</w:t>
            </w:r>
          </w:p>
        </w:tc>
        <w:tc>
          <w:tcPr>
            <w:tcW w:w="567" w:type="dxa"/>
            <w:tcBorders>
              <w:top w:val="nil"/>
              <w:bottom w:val="nil"/>
              <w:right w:val="nil"/>
            </w:tcBorders>
          </w:tcPr>
          <w:p w14:paraId="136D65F1"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single" w:sz="18" w:space="0" w:color="auto"/>
            </w:tcBorders>
          </w:tcPr>
          <w:p w14:paraId="66EC7A75"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single" w:sz="18" w:space="0" w:color="auto"/>
              <w:bottom w:val="nil"/>
              <w:right w:val="nil"/>
            </w:tcBorders>
          </w:tcPr>
          <w:p w14:paraId="1922C548"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single" w:sz="18" w:space="0" w:color="auto"/>
            </w:tcBorders>
          </w:tcPr>
          <w:p w14:paraId="65F70869"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single" w:sz="18" w:space="0" w:color="auto"/>
              <w:bottom w:val="nil"/>
              <w:right w:val="nil"/>
            </w:tcBorders>
          </w:tcPr>
          <w:p w14:paraId="510A9942"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single" w:sz="18" w:space="0" w:color="auto"/>
            </w:tcBorders>
          </w:tcPr>
          <w:p w14:paraId="1EA64F25"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single" w:sz="18" w:space="0" w:color="auto"/>
              <w:bottom w:val="nil"/>
              <w:right w:val="nil"/>
            </w:tcBorders>
          </w:tcPr>
          <w:p w14:paraId="6D3713EF"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nil"/>
            </w:tcBorders>
          </w:tcPr>
          <w:p w14:paraId="75049B53"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r>
      <w:tr w:rsidR="004A6FD4" w:rsidRPr="004E19FD" w14:paraId="02E3E2E3" w14:textId="77777777" w:rsidTr="00226A8A">
        <w:tc>
          <w:tcPr>
            <w:tcW w:w="946" w:type="dxa"/>
            <w:tcBorders>
              <w:top w:val="nil"/>
              <w:left w:val="nil"/>
              <w:bottom w:val="nil"/>
            </w:tcBorders>
          </w:tcPr>
          <w:p w14:paraId="2746C953" w14:textId="77777777" w:rsidR="004A6FD4" w:rsidRPr="004E19FD" w:rsidRDefault="004A6FD4" w:rsidP="00226A8A">
            <w:pPr>
              <w:widowControl w:val="0"/>
              <w:autoSpaceDE w:val="0"/>
              <w:autoSpaceDN w:val="0"/>
              <w:adjustRightInd w:val="0"/>
              <w:spacing w:before="0" w:after="0" w:line="240" w:lineRule="auto"/>
              <w:rPr>
                <w:b/>
                <w:szCs w:val="24"/>
                <w:lang w:val="en-CA"/>
              </w:rPr>
            </w:pPr>
            <w:r w:rsidRPr="004E19FD">
              <w:rPr>
                <w:b/>
                <w:szCs w:val="24"/>
                <w:lang w:val="en-CA"/>
              </w:rPr>
              <w:t>Pop. 3</w:t>
            </w:r>
          </w:p>
        </w:tc>
        <w:tc>
          <w:tcPr>
            <w:tcW w:w="567" w:type="dxa"/>
            <w:tcBorders>
              <w:top w:val="nil"/>
              <w:bottom w:val="nil"/>
              <w:right w:val="nil"/>
            </w:tcBorders>
          </w:tcPr>
          <w:p w14:paraId="61A62DF2"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nil"/>
              <w:bottom w:val="nil"/>
              <w:right w:val="single" w:sz="18" w:space="0" w:color="auto"/>
            </w:tcBorders>
          </w:tcPr>
          <w:p w14:paraId="3F3D90FA"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single" w:sz="18" w:space="0" w:color="auto"/>
              <w:bottom w:val="nil"/>
              <w:right w:val="nil"/>
            </w:tcBorders>
          </w:tcPr>
          <w:p w14:paraId="37EFAE86"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nil"/>
              <w:bottom w:val="nil"/>
              <w:right w:val="single" w:sz="18" w:space="0" w:color="auto"/>
            </w:tcBorders>
          </w:tcPr>
          <w:p w14:paraId="01070D25"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single" w:sz="18" w:space="0" w:color="auto"/>
              <w:bottom w:val="nil"/>
              <w:right w:val="nil"/>
            </w:tcBorders>
          </w:tcPr>
          <w:p w14:paraId="068FFC57"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nil"/>
              <w:bottom w:val="nil"/>
              <w:right w:val="single" w:sz="18" w:space="0" w:color="auto"/>
            </w:tcBorders>
          </w:tcPr>
          <w:p w14:paraId="5CD05C6A"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single" w:sz="18" w:space="0" w:color="auto"/>
              <w:bottom w:val="nil"/>
              <w:right w:val="nil"/>
            </w:tcBorders>
          </w:tcPr>
          <w:p w14:paraId="4076266F"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nil"/>
              <w:bottom w:val="nil"/>
              <w:right w:val="nil"/>
            </w:tcBorders>
          </w:tcPr>
          <w:p w14:paraId="0FAD3556"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r>
      <w:tr w:rsidR="004A6FD4" w:rsidRPr="004E19FD" w14:paraId="0ED9478A" w14:textId="77777777" w:rsidTr="00226A8A">
        <w:tc>
          <w:tcPr>
            <w:tcW w:w="946" w:type="dxa"/>
            <w:tcBorders>
              <w:top w:val="nil"/>
              <w:left w:val="nil"/>
              <w:bottom w:val="nil"/>
            </w:tcBorders>
          </w:tcPr>
          <w:p w14:paraId="7B83CC3E" w14:textId="77777777" w:rsidR="004A6FD4" w:rsidRPr="004E19FD" w:rsidRDefault="004A6FD4" w:rsidP="00226A8A">
            <w:pPr>
              <w:widowControl w:val="0"/>
              <w:autoSpaceDE w:val="0"/>
              <w:autoSpaceDN w:val="0"/>
              <w:adjustRightInd w:val="0"/>
              <w:spacing w:before="0" w:after="0" w:line="240" w:lineRule="auto"/>
              <w:rPr>
                <w:b/>
                <w:szCs w:val="24"/>
                <w:lang w:val="en-CA"/>
              </w:rPr>
            </w:pPr>
            <w:r w:rsidRPr="004E19FD">
              <w:rPr>
                <w:b/>
                <w:szCs w:val="24"/>
                <w:lang w:val="en-CA"/>
              </w:rPr>
              <w:t>Pop. 4</w:t>
            </w:r>
          </w:p>
        </w:tc>
        <w:tc>
          <w:tcPr>
            <w:tcW w:w="567" w:type="dxa"/>
            <w:tcBorders>
              <w:top w:val="nil"/>
              <w:bottom w:val="nil"/>
              <w:right w:val="nil"/>
            </w:tcBorders>
          </w:tcPr>
          <w:p w14:paraId="0A3F660F"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single" w:sz="18" w:space="0" w:color="auto"/>
            </w:tcBorders>
          </w:tcPr>
          <w:p w14:paraId="3D3AF77C"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single" w:sz="18" w:space="0" w:color="auto"/>
              <w:bottom w:val="nil"/>
              <w:right w:val="nil"/>
            </w:tcBorders>
          </w:tcPr>
          <w:p w14:paraId="1A352611"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single" w:sz="18" w:space="0" w:color="auto"/>
            </w:tcBorders>
          </w:tcPr>
          <w:p w14:paraId="040221BC"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single" w:sz="18" w:space="0" w:color="auto"/>
              <w:bottom w:val="nil"/>
              <w:right w:val="nil"/>
            </w:tcBorders>
          </w:tcPr>
          <w:p w14:paraId="60D4EEAE"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single" w:sz="18" w:space="0" w:color="auto"/>
            </w:tcBorders>
          </w:tcPr>
          <w:p w14:paraId="63D56AB1"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single" w:sz="18" w:space="0" w:color="auto"/>
              <w:bottom w:val="nil"/>
              <w:right w:val="nil"/>
            </w:tcBorders>
          </w:tcPr>
          <w:p w14:paraId="0D6AEE35"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nil"/>
            </w:tcBorders>
          </w:tcPr>
          <w:p w14:paraId="5A411BED"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r>
    </w:tbl>
    <w:p w14:paraId="409A36F3" w14:textId="77777777" w:rsidR="004A6FD4" w:rsidRPr="004E19FD" w:rsidRDefault="004A6FD4" w:rsidP="004A6FD4">
      <w:pPr>
        <w:widowControl w:val="0"/>
        <w:autoSpaceDE w:val="0"/>
        <w:autoSpaceDN w:val="0"/>
        <w:adjustRightInd w:val="0"/>
        <w:spacing w:after="240" w:line="276" w:lineRule="auto"/>
        <w:rPr>
          <w:szCs w:val="24"/>
          <w:lang w:val="en-CA"/>
        </w:rPr>
      </w:pPr>
    </w:p>
    <w:p w14:paraId="773ADC7E" w14:textId="77777777" w:rsidR="004A6FD4" w:rsidRPr="004E19FD" w:rsidRDefault="004A6FD4" w:rsidP="004A6FD4">
      <w:pPr>
        <w:widowControl w:val="0"/>
        <w:autoSpaceDE w:val="0"/>
        <w:autoSpaceDN w:val="0"/>
        <w:adjustRightInd w:val="0"/>
        <w:spacing w:after="240" w:line="276" w:lineRule="auto"/>
        <w:rPr>
          <w:b/>
          <w:bCs w:val="0"/>
          <w:szCs w:val="24"/>
          <w:lang w:val="en-CA"/>
        </w:rPr>
      </w:pPr>
    </w:p>
    <w:p w14:paraId="2829D446" w14:textId="77777777" w:rsidR="004A6FD4" w:rsidRDefault="004A6FD4" w:rsidP="004A6FD4">
      <w:pPr>
        <w:pStyle w:val="NoSpacing"/>
        <w:rPr>
          <w:sz w:val="23"/>
          <w:szCs w:val="23"/>
          <w:lang w:val="en-CA"/>
        </w:rPr>
      </w:pPr>
    </w:p>
    <w:p w14:paraId="67C136B4" w14:textId="77777777" w:rsidR="004A6FD4" w:rsidRDefault="004A6FD4" w:rsidP="004A6FD4">
      <w:pPr>
        <w:spacing w:before="0" w:after="160" w:line="259" w:lineRule="auto"/>
        <w:rPr>
          <w:rFonts w:eastAsia="Yu Mincho"/>
          <w:sz w:val="22"/>
          <w:lang w:val="en-CA"/>
        </w:rPr>
      </w:pPr>
      <w:r>
        <w:rPr>
          <w:rFonts w:eastAsia="Yu Mincho"/>
          <w:sz w:val="22"/>
          <w:lang w:val="en-CA"/>
        </w:rPr>
        <w:br w:type="page"/>
      </w:r>
    </w:p>
    <w:p w14:paraId="7A5C76D9" w14:textId="77777777" w:rsidR="004A6FD4" w:rsidRDefault="004A6FD4" w:rsidP="004A6FD4">
      <w:pPr>
        <w:pStyle w:val="Caption"/>
        <w:keepNext/>
        <w:rPr>
          <w:i w:val="0"/>
          <w:iCs w:val="0"/>
          <w:color w:val="auto"/>
          <w:sz w:val="24"/>
          <w:szCs w:val="24"/>
          <w:lang w:val="en-CA"/>
        </w:rPr>
      </w:pPr>
      <w:r w:rsidRPr="00922099">
        <w:rPr>
          <w:b/>
          <w:bCs w:val="0"/>
          <w:i w:val="0"/>
          <w:iCs w:val="0"/>
          <w:color w:val="auto"/>
          <w:sz w:val="24"/>
          <w:szCs w:val="24"/>
          <w:lang w:val="en-GB"/>
        </w:rPr>
        <w:lastRenderedPageBreak/>
        <w:t xml:space="preserve">Table </w:t>
      </w:r>
      <w:r w:rsidRPr="00922099">
        <w:rPr>
          <w:b/>
          <w:bCs w:val="0"/>
          <w:i w:val="0"/>
          <w:iCs w:val="0"/>
          <w:color w:val="auto"/>
          <w:sz w:val="24"/>
          <w:szCs w:val="24"/>
        </w:rPr>
        <w:fldChar w:fldCharType="begin"/>
      </w:r>
      <w:r w:rsidRPr="00922099">
        <w:rPr>
          <w:b/>
          <w:bCs w:val="0"/>
          <w:i w:val="0"/>
          <w:iCs w:val="0"/>
          <w:color w:val="auto"/>
          <w:sz w:val="24"/>
          <w:szCs w:val="24"/>
          <w:lang w:val="en-GB"/>
        </w:rPr>
        <w:instrText xml:space="preserve"> SEQ Table \* ARABIC \s 1 </w:instrText>
      </w:r>
      <w:r w:rsidRPr="00922099">
        <w:rPr>
          <w:b/>
          <w:bCs w:val="0"/>
          <w:i w:val="0"/>
          <w:iCs w:val="0"/>
          <w:color w:val="auto"/>
          <w:sz w:val="24"/>
          <w:szCs w:val="24"/>
        </w:rPr>
        <w:fldChar w:fldCharType="separate"/>
      </w:r>
      <w:r>
        <w:rPr>
          <w:b/>
          <w:bCs w:val="0"/>
          <w:i w:val="0"/>
          <w:iCs w:val="0"/>
          <w:noProof/>
          <w:color w:val="auto"/>
          <w:sz w:val="24"/>
          <w:szCs w:val="24"/>
          <w:lang w:val="en-GB"/>
        </w:rPr>
        <w:t>2</w:t>
      </w:r>
      <w:r w:rsidRPr="00922099">
        <w:rPr>
          <w:b/>
          <w:bCs w:val="0"/>
          <w:i w:val="0"/>
          <w:iCs w:val="0"/>
          <w:color w:val="auto"/>
          <w:sz w:val="24"/>
          <w:szCs w:val="24"/>
        </w:rPr>
        <w:fldChar w:fldCharType="end"/>
      </w:r>
      <w:bookmarkEnd w:id="56"/>
      <w:r w:rsidRPr="00922099">
        <w:rPr>
          <w:b/>
          <w:bCs w:val="0"/>
          <w:i w:val="0"/>
          <w:iCs w:val="0"/>
          <w:color w:val="auto"/>
          <w:sz w:val="24"/>
          <w:szCs w:val="24"/>
          <w:lang w:val="en-GB"/>
        </w:rPr>
        <w:t> :</w:t>
      </w:r>
      <w:r w:rsidRPr="00922099">
        <w:rPr>
          <w:i w:val="0"/>
          <w:iCs w:val="0"/>
          <w:color w:val="auto"/>
          <w:sz w:val="24"/>
          <w:szCs w:val="24"/>
          <w:lang w:val="en-GB"/>
        </w:rPr>
        <w:t xml:space="preserve"> </w:t>
      </w:r>
      <w:r w:rsidRPr="00922099">
        <w:rPr>
          <w:i w:val="0"/>
          <w:iCs w:val="0"/>
          <w:color w:val="auto"/>
          <w:sz w:val="24"/>
          <w:szCs w:val="24"/>
          <w:lang w:val="en-CA"/>
        </w:rPr>
        <w:t xml:space="preserve">Two-factor simulation experiment with scenario abbreviations used throughout the manuscript. The third column indicates the number of affected populations with </w:t>
      </w:r>
      <w:r w:rsidRPr="00922099">
        <w:rPr>
          <w:rFonts w:eastAsia="Times New Roman"/>
          <w:i w:val="0"/>
          <w:iCs w:val="0"/>
          <w:color w:val="auto"/>
          <w:sz w:val="24"/>
          <w:szCs w:val="24"/>
          <w:lang w:val="en-CA"/>
        </w:rPr>
        <w:t xml:space="preserve">spatiotemporal population genetic legacies; scenarios with 0 affected populations represent the control scenarios. </w:t>
      </w:r>
      <w:r w:rsidRPr="00922099">
        <w:rPr>
          <w:i w:val="0"/>
          <w:iCs w:val="0"/>
          <w:color w:val="auto"/>
          <w:sz w:val="24"/>
          <w:szCs w:val="24"/>
          <w:lang w:val="en-CA"/>
        </w:rPr>
        <w:t>We ran 180 unique simulations (replicates) for each combination of factor levels, which amounts to 2160 simulations in total.</w:t>
      </w:r>
      <w:bookmarkEnd w:id="57"/>
    </w:p>
    <w:p w14:paraId="48484C68" w14:textId="77777777" w:rsidR="004A6FD4" w:rsidRPr="00DF1001" w:rsidRDefault="004A6FD4" w:rsidP="004A6FD4">
      <w:pPr>
        <w:rPr>
          <w:lang w:val="en-CA"/>
        </w:rPr>
      </w:pPr>
    </w:p>
    <w:tbl>
      <w:tblPr>
        <w:tblStyle w:val="TableGrid"/>
        <w:tblW w:w="0" w:type="auto"/>
        <w:jc w:val="center"/>
        <w:tblLook w:val="04A0" w:firstRow="1" w:lastRow="0" w:firstColumn="1" w:lastColumn="0" w:noHBand="0" w:noVBand="1"/>
      </w:tblPr>
      <w:tblGrid>
        <w:gridCol w:w="1390"/>
        <w:gridCol w:w="1931"/>
        <w:gridCol w:w="2742"/>
        <w:gridCol w:w="2963"/>
      </w:tblGrid>
      <w:tr w:rsidR="004A6FD4" w:rsidRPr="00BD14BD" w14:paraId="2836356D" w14:textId="77777777" w:rsidTr="00226A8A">
        <w:trPr>
          <w:trHeight w:hRule="exact" w:val="567"/>
          <w:jc w:val="center"/>
        </w:trPr>
        <w:tc>
          <w:tcPr>
            <w:tcW w:w="1413" w:type="dxa"/>
            <w:tcBorders>
              <w:top w:val="nil"/>
              <w:left w:val="nil"/>
              <w:bottom w:val="single" w:sz="4" w:space="0" w:color="auto"/>
              <w:right w:val="nil"/>
            </w:tcBorders>
            <w:vAlign w:val="center"/>
            <w:hideMark/>
          </w:tcPr>
          <w:p w14:paraId="18A80913" w14:textId="77777777" w:rsidR="004A6FD4" w:rsidRPr="00DC6BBC" w:rsidRDefault="004A6FD4" w:rsidP="00226A8A">
            <w:pPr>
              <w:spacing w:before="0" w:line="276" w:lineRule="auto"/>
              <w:jc w:val="center"/>
              <w:rPr>
                <w:b/>
                <w:bCs w:val="0"/>
                <w:iCs/>
                <w:szCs w:val="24"/>
                <w:lang w:val="en-CA"/>
              </w:rPr>
            </w:pPr>
            <w:r w:rsidRPr="00DC6BBC">
              <w:rPr>
                <w:b/>
                <w:bCs w:val="0"/>
                <w:iCs/>
                <w:szCs w:val="24"/>
                <w:lang w:val="en-CA"/>
              </w:rPr>
              <w:t>Number</w:t>
            </w:r>
          </w:p>
        </w:tc>
        <w:tc>
          <w:tcPr>
            <w:tcW w:w="1984" w:type="dxa"/>
            <w:tcBorders>
              <w:top w:val="nil"/>
              <w:left w:val="nil"/>
              <w:bottom w:val="single" w:sz="4" w:space="0" w:color="auto"/>
              <w:right w:val="nil"/>
            </w:tcBorders>
            <w:vAlign w:val="center"/>
          </w:tcPr>
          <w:p w14:paraId="0170E8D6" w14:textId="77777777" w:rsidR="004A6FD4" w:rsidRPr="00DC6BBC" w:rsidRDefault="004A6FD4" w:rsidP="00226A8A">
            <w:pPr>
              <w:spacing w:before="0" w:line="276" w:lineRule="auto"/>
              <w:jc w:val="center"/>
              <w:rPr>
                <w:b/>
                <w:bCs w:val="0"/>
                <w:szCs w:val="24"/>
                <w:lang w:val="en-CA"/>
              </w:rPr>
            </w:pPr>
            <w:r w:rsidRPr="00DC6BBC">
              <w:rPr>
                <w:b/>
                <w:bCs w:val="0"/>
                <w:szCs w:val="24"/>
                <w:lang w:val="en-CA"/>
              </w:rPr>
              <w:t>Dispersal</w:t>
            </w:r>
          </w:p>
        </w:tc>
        <w:tc>
          <w:tcPr>
            <w:tcW w:w="2835" w:type="dxa"/>
            <w:tcBorders>
              <w:top w:val="nil"/>
              <w:left w:val="nil"/>
              <w:bottom w:val="single" w:sz="4" w:space="0" w:color="auto"/>
              <w:right w:val="nil"/>
            </w:tcBorders>
            <w:vAlign w:val="center"/>
          </w:tcPr>
          <w:p w14:paraId="63A0FF6E" w14:textId="77777777" w:rsidR="004A6FD4" w:rsidRPr="00DC6BBC" w:rsidRDefault="004A6FD4" w:rsidP="00226A8A">
            <w:pPr>
              <w:spacing w:before="0" w:line="276" w:lineRule="auto"/>
              <w:jc w:val="center"/>
              <w:rPr>
                <w:b/>
                <w:bCs w:val="0"/>
                <w:szCs w:val="24"/>
                <w:lang w:val="en-CA"/>
              </w:rPr>
            </w:pPr>
            <w:r>
              <w:rPr>
                <w:b/>
                <w:bCs w:val="0"/>
                <w:szCs w:val="24"/>
                <w:lang w:val="en-CA"/>
              </w:rPr>
              <w:t>Affected populations</w:t>
            </w:r>
          </w:p>
        </w:tc>
        <w:tc>
          <w:tcPr>
            <w:tcW w:w="3118" w:type="dxa"/>
            <w:tcBorders>
              <w:top w:val="nil"/>
              <w:left w:val="nil"/>
              <w:bottom w:val="single" w:sz="4" w:space="0" w:color="auto"/>
              <w:right w:val="nil"/>
            </w:tcBorders>
            <w:vAlign w:val="center"/>
          </w:tcPr>
          <w:p w14:paraId="327406D0" w14:textId="77777777" w:rsidR="004A6FD4" w:rsidRPr="00DC6BBC" w:rsidRDefault="004A6FD4" w:rsidP="00226A8A">
            <w:pPr>
              <w:spacing w:before="0" w:line="276" w:lineRule="auto"/>
              <w:jc w:val="center"/>
              <w:rPr>
                <w:b/>
                <w:bCs w:val="0"/>
                <w:szCs w:val="24"/>
                <w:lang w:val="en-CA"/>
              </w:rPr>
            </w:pPr>
            <w:r>
              <w:rPr>
                <w:b/>
                <w:bCs w:val="0"/>
                <w:szCs w:val="24"/>
                <w:lang w:val="en-CA"/>
              </w:rPr>
              <w:t>Code</w:t>
            </w:r>
          </w:p>
        </w:tc>
      </w:tr>
      <w:tr w:rsidR="004A6FD4" w:rsidRPr="00BD14BD" w14:paraId="1F143DD7" w14:textId="77777777" w:rsidTr="00226A8A">
        <w:trPr>
          <w:trHeight w:hRule="exact" w:val="567"/>
          <w:jc w:val="center"/>
        </w:trPr>
        <w:tc>
          <w:tcPr>
            <w:tcW w:w="1413" w:type="dxa"/>
            <w:tcBorders>
              <w:top w:val="single" w:sz="4" w:space="0" w:color="auto"/>
              <w:left w:val="nil"/>
              <w:bottom w:val="nil"/>
              <w:right w:val="nil"/>
            </w:tcBorders>
            <w:vAlign w:val="center"/>
            <w:hideMark/>
          </w:tcPr>
          <w:p w14:paraId="42AC6499" w14:textId="77777777" w:rsidR="004A6FD4" w:rsidRPr="00DC6BBC" w:rsidRDefault="004A6FD4" w:rsidP="00226A8A">
            <w:pPr>
              <w:spacing w:line="276" w:lineRule="auto"/>
              <w:jc w:val="center"/>
              <w:rPr>
                <w:bCs w:val="0"/>
                <w:szCs w:val="24"/>
                <w:lang w:val="en-CA"/>
              </w:rPr>
            </w:pPr>
            <w:r w:rsidRPr="00DC6BBC">
              <w:rPr>
                <w:bCs w:val="0"/>
                <w:szCs w:val="24"/>
                <w:lang w:val="en-CA"/>
              </w:rPr>
              <w:t>1</w:t>
            </w:r>
          </w:p>
        </w:tc>
        <w:tc>
          <w:tcPr>
            <w:tcW w:w="1984" w:type="dxa"/>
            <w:tcBorders>
              <w:top w:val="single" w:sz="4" w:space="0" w:color="auto"/>
              <w:left w:val="nil"/>
              <w:bottom w:val="nil"/>
              <w:right w:val="nil"/>
            </w:tcBorders>
            <w:vAlign w:val="center"/>
          </w:tcPr>
          <w:p w14:paraId="6A9C1ECA" w14:textId="77777777" w:rsidR="004A6FD4" w:rsidRPr="00BD14BD" w:rsidRDefault="004A6FD4" w:rsidP="00226A8A">
            <w:pPr>
              <w:spacing w:line="276" w:lineRule="auto"/>
              <w:jc w:val="center"/>
              <w:rPr>
                <w:szCs w:val="24"/>
                <w:lang w:val="en-CA"/>
              </w:rPr>
            </w:pPr>
            <w:r>
              <w:rPr>
                <w:szCs w:val="24"/>
                <w:lang w:val="en-CA"/>
              </w:rPr>
              <w:t>Low</w:t>
            </w:r>
          </w:p>
        </w:tc>
        <w:tc>
          <w:tcPr>
            <w:tcW w:w="2835" w:type="dxa"/>
            <w:tcBorders>
              <w:top w:val="single" w:sz="4" w:space="0" w:color="auto"/>
              <w:left w:val="nil"/>
              <w:bottom w:val="nil"/>
              <w:right w:val="nil"/>
            </w:tcBorders>
            <w:vAlign w:val="center"/>
          </w:tcPr>
          <w:p w14:paraId="02562A17" w14:textId="77777777" w:rsidR="004A6FD4" w:rsidRPr="00BD14BD" w:rsidRDefault="004A6FD4" w:rsidP="00226A8A">
            <w:pPr>
              <w:spacing w:line="276" w:lineRule="auto"/>
              <w:jc w:val="center"/>
              <w:rPr>
                <w:szCs w:val="24"/>
                <w:lang w:val="en-CA"/>
              </w:rPr>
            </w:pPr>
            <w:r>
              <w:rPr>
                <w:szCs w:val="24"/>
                <w:lang w:val="en-CA"/>
              </w:rPr>
              <w:t>1</w:t>
            </w:r>
          </w:p>
        </w:tc>
        <w:tc>
          <w:tcPr>
            <w:tcW w:w="3118" w:type="dxa"/>
            <w:tcBorders>
              <w:top w:val="single" w:sz="4" w:space="0" w:color="auto"/>
              <w:left w:val="nil"/>
              <w:bottom w:val="nil"/>
              <w:right w:val="nil"/>
            </w:tcBorders>
            <w:vAlign w:val="center"/>
          </w:tcPr>
          <w:p w14:paraId="3E996DC0" w14:textId="77777777" w:rsidR="004A6FD4" w:rsidRPr="00BD14BD" w:rsidRDefault="004A6FD4" w:rsidP="00226A8A">
            <w:pPr>
              <w:spacing w:line="276" w:lineRule="auto"/>
              <w:jc w:val="center"/>
              <w:rPr>
                <w:szCs w:val="24"/>
                <w:lang w:val="en-CA"/>
              </w:rPr>
            </w:pPr>
            <w:r>
              <w:rPr>
                <w:szCs w:val="24"/>
                <w:lang w:val="en-CA"/>
              </w:rPr>
              <w:t>L1</w:t>
            </w:r>
          </w:p>
        </w:tc>
      </w:tr>
      <w:tr w:rsidR="004A6FD4" w:rsidRPr="00BD14BD" w14:paraId="091DDA09" w14:textId="77777777" w:rsidTr="00226A8A">
        <w:trPr>
          <w:trHeight w:hRule="exact" w:val="567"/>
          <w:jc w:val="center"/>
        </w:trPr>
        <w:tc>
          <w:tcPr>
            <w:tcW w:w="1413" w:type="dxa"/>
            <w:tcBorders>
              <w:top w:val="nil"/>
              <w:left w:val="nil"/>
              <w:bottom w:val="nil"/>
              <w:right w:val="nil"/>
            </w:tcBorders>
            <w:vAlign w:val="center"/>
            <w:hideMark/>
          </w:tcPr>
          <w:p w14:paraId="6695187A" w14:textId="77777777" w:rsidR="004A6FD4" w:rsidRPr="00DC6BBC" w:rsidRDefault="004A6FD4" w:rsidP="00226A8A">
            <w:pPr>
              <w:spacing w:line="276" w:lineRule="auto"/>
              <w:jc w:val="center"/>
              <w:rPr>
                <w:bCs w:val="0"/>
                <w:szCs w:val="24"/>
                <w:lang w:val="en-CA"/>
              </w:rPr>
            </w:pPr>
            <w:r w:rsidRPr="00DC6BBC">
              <w:rPr>
                <w:bCs w:val="0"/>
                <w:szCs w:val="24"/>
                <w:lang w:val="en-CA"/>
              </w:rPr>
              <w:t>2</w:t>
            </w:r>
          </w:p>
        </w:tc>
        <w:tc>
          <w:tcPr>
            <w:tcW w:w="1984" w:type="dxa"/>
            <w:tcBorders>
              <w:top w:val="nil"/>
              <w:left w:val="nil"/>
              <w:bottom w:val="nil"/>
              <w:right w:val="nil"/>
            </w:tcBorders>
            <w:vAlign w:val="center"/>
          </w:tcPr>
          <w:p w14:paraId="00D8E314" w14:textId="77777777" w:rsidR="004A6FD4" w:rsidRPr="00BD14BD" w:rsidRDefault="004A6FD4" w:rsidP="00226A8A">
            <w:pPr>
              <w:spacing w:line="276" w:lineRule="auto"/>
              <w:jc w:val="center"/>
              <w:rPr>
                <w:szCs w:val="24"/>
                <w:lang w:val="en-CA"/>
              </w:rPr>
            </w:pPr>
            <w:r>
              <w:rPr>
                <w:szCs w:val="24"/>
                <w:lang w:val="en-CA"/>
              </w:rPr>
              <w:t>Moderate</w:t>
            </w:r>
          </w:p>
        </w:tc>
        <w:tc>
          <w:tcPr>
            <w:tcW w:w="2835" w:type="dxa"/>
            <w:tcBorders>
              <w:top w:val="nil"/>
              <w:left w:val="nil"/>
              <w:bottom w:val="nil"/>
              <w:right w:val="nil"/>
            </w:tcBorders>
            <w:vAlign w:val="center"/>
          </w:tcPr>
          <w:p w14:paraId="1B8C392E" w14:textId="77777777" w:rsidR="004A6FD4" w:rsidRPr="00BD14BD" w:rsidRDefault="004A6FD4" w:rsidP="00226A8A">
            <w:pPr>
              <w:spacing w:line="276" w:lineRule="auto"/>
              <w:jc w:val="center"/>
              <w:rPr>
                <w:szCs w:val="24"/>
                <w:lang w:val="en-CA"/>
              </w:rPr>
            </w:pPr>
            <w:r>
              <w:rPr>
                <w:szCs w:val="24"/>
                <w:lang w:val="en-CA"/>
              </w:rPr>
              <w:t>1</w:t>
            </w:r>
          </w:p>
        </w:tc>
        <w:tc>
          <w:tcPr>
            <w:tcW w:w="3118" w:type="dxa"/>
            <w:tcBorders>
              <w:top w:val="nil"/>
              <w:left w:val="nil"/>
              <w:bottom w:val="nil"/>
              <w:right w:val="nil"/>
            </w:tcBorders>
            <w:vAlign w:val="center"/>
          </w:tcPr>
          <w:p w14:paraId="6D7A550E" w14:textId="77777777" w:rsidR="004A6FD4" w:rsidRPr="00BD14BD" w:rsidRDefault="004A6FD4" w:rsidP="00226A8A">
            <w:pPr>
              <w:spacing w:line="276" w:lineRule="auto"/>
              <w:jc w:val="center"/>
              <w:rPr>
                <w:szCs w:val="24"/>
                <w:lang w:val="en-CA"/>
              </w:rPr>
            </w:pPr>
            <w:r>
              <w:rPr>
                <w:szCs w:val="24"/>
                <w:lang w:val="en-CA"/>
              </w:rPr>
              <w:t>M1</w:t>
            </w:r>
          </w:p>
        </w:tc>
      </w:tr>
      <w:tr w:rsidR="004A6FD4" w:rsidRPr="00BD14BD" w14:paraId="0430C359" w14:textId="77777777" w:rsidTr="00226A8A">
        <w:trPr>
          <w:trHeight w:hRule="exact" w:val="567"/>
          <w:jc w:val="center"/>
        </w:trPr>
        <w:tc>
          <w:tcPr>
            <w:tcW w:w="1413" w:type="dxa"/>
            <w:tcBorders>
              <w:top w:val="nil"/>
              <w:left w:val="nil"/>
              <w:bottom w:val="nil"/>
              <w:right w:val="nil"/>
            </w:tcBorders>
            <w:vAlign w:val="center"/>
            <w:hideMark/>
          </w:tcPr>
          <w:p w14:paraId="59424257" w14:textId="77777777" w:rsidR="004A6FD4" w:rsidRPr="00DC6BBC" w:rsidRDefault="004A6FD4" w:rsidP="00226A8A">
            <w:pPr>
              <w:spacing w:line="276" w:lineRule="auto"/>
              <w:jc w:val="center"/>
              <w:rPr>
                <w:bCs w:val="0"/>
                <w:szCs w:val="24"/>
                <w:lang w:val="en-CA"/>
              </w:rPr>
            </w:pPr>
            <w:r w:rsidRPr="00DC6BBC">
              <w:rPr>
                <w:bCs w:val="0"/>
                <w:szCs w:val="24"/>
                <w:lang w:val="en-CA"/>
              </w:rPr>
              <w:t>3</w:t>
            </w:r>
          </w:p>
        </w:tc>
        <w:tc>
          <w:tcPr>
            <w:tcW w:w="1984" w:type="dxa"/>
            <w:tcBorders>
              <w:top w:val="nil"/>
              <w:left w:val="nil"/>
              <w:bottom w:val="nil"/>
              <w:right w:val="nil"/>
            </w:tcBorders>
            <w:vAlign w:val="center"/>
          </w:tcPr>
          <w:p w14:paraId="5DF7F0D9" w14:textId="77777777" w:rsidR="004A6FD4" w:rsidRPr="00BD14BD" w:rsidRDefault="004A6FD4" w:rsidP="00226A8A">
            <w:pPr>
              <w:spacing w:line="276" w:lineRule="auto"/>
              <w:jc w:val="center"/>
              <w:rPr>
                <w:szCs w:val="24"/>
                <w:lang w:val="en-CA"/>
              </w:rPr>
            </w:pPr>
            <w:r>
              <w:rPr>
                <w:szCs w:val="24"/>
                <w:lang w:val="en-CA"/>
              </w:rPr>
              <w:t>High</w:t>
            </w:r>
          </w:p>
        </w:tc>
        <w:tc>
          <w:tcPr>
            <w:tcW w:w="2835" w:type="dxa"/>
            <w:tcBorders>
              <w:top w:val="nil"/>
              <w:left w:val="nil"/>
              <w:bottom w:val="nil"/>
              <w:right w:val="nil"/>
            </w:tcBorders>
            <w:vAlign w:val="center"/>
          </w:tcPr>
          <w:p w14:paraId="0BDFAE98" w14:textId="77777777" w:rsidR="004A6FD4" w:rsidRPr="00BD14BD" w:rsidRDefault="004A6FD4" w:rsidP="00226A8A">
            <w:pPr>
              <w:spacing w:line="276" w:lineRule="auto"/>
              <w:jc w:val="center"/>
              <w:rPr>
                <w:szCs w:val="24"/>
                <w:lang w:val="en-CA"/>
              </w:rPr>
            </w:pPr>
            <w:r>
              <w:rPr>
                <w:szCs w:val="24"/>
                <w:lang w:val="en-CA"/>
              </w:rPr>
              <w:t>1</w:t>
            </w:r>
          </w:p>
        </w:tc>
        <w:tc>
          <w:tcPr>
            <w:tcW w:w="3118" w:type="dxa"/>
            <w:tcBorders>
              <w:top w:val="nil"/>
              <w:left w:val="nil"/>
              <w:bottom w:val="nil"/>
              <w:right w:val="nil"/>
            </w:tcBorders>
            <w:vAlign w:val="center"/>
          </w:tcPr>
          <w:p w14:paraId="1F39B711" w14:textId="77777777" w:rsidR="004A6FD4" w:rsidRPr="00BD14BD" w:rsidRDefault="004A6FD4" w:rsidP="00226A8A">
            <w:pPr>
              <w:spacing w:line="276" w:lineRule="auto"/>
              <w:jc w:val="center"/>
              <w:rPr>
                <w:szCs w:val="24"/>
                <w:lang w:val="en-CA"/>
              </w:rPr>
            </w:pPr>
            <w:r>
              <w:rPr>
                <w:szCs w:val="24"/>
                <w:lang w:val="en-CA"/>
              </w:rPr>
              <w:t>H1</w:t>
            </w:r>
          </w:p>
        </w:tc>
      </w:tr>
      <w:tr w:rsidR="004A6FD4" w:rsidRPr="00BD14BD" w14:paraId="1A63B6C3" w14:textId="77777777" w:rsidTr="00226A8A">
        <w:trPr>
          <w:trHeight w:hRule="exact" w:val="567"/>
          <w:jc w:val="center"/>
        </w:trPr>
        <w:tc>
          <w:tcPr>
            <w:tcW w:w="1413" w:type="dxa"/>
            <w:tcBorders>
              <w:top w:val="nil"/>
              <w:left w:val="nil"/>
              <w:bottom w:val="nil"/>
              <w:right w:val="nil"/>
            </w:tcBorders>
            <w:vAlign w:val="center"/>
            <w:hideMark/>
          </w:tcPr>
          <w:p w14:paraId="5DC2DB56" w14:textId="77777777" w:rsidR="004A6FD4" w:rsidRPr="00DC6BBC" w:rsidRDefault="004A6FD4" w:rsidP="00226A8A">
            <w:pPr>
              <w:spacing w:line="276" w:lineRule="auto"/>
              <w:jc w:val="center"/>
              <w:rPr>
                <w:bCs w:val="0"/>
                <w:szCs w:val="24"/>
                <w:lang w:val="en-CA"/>
              </w:rPr>
            </w:pPr>
            <w:r>
              <w:rPr>
                <w:bCs w:val="0"/>
                <w:szCs w:val="24"/>
                <w:lang w:val="en-CA"/>
              </w:rPr>
              <w:t>4</w:t>
            </w:r>
          </w:p>
        </w:tc>
        <w:tc>
          <w:tcPr>
            <w:tcW w:w="1984" w:type="dxa"/>
            <w:tcBorders>
              <w:top w:val="nil"/>
              <w:left w:val="nil"/>
              <w:bottom w:val="nil"/>
              <w:right w:val="nil"/>
            </w:tcBorders>
            <w:vAlign w:val="center"/>
          </w:tcPr>
          <w:p w14:paraId="17656051" w14:textId="77777777" w:rsidR="004A6FD4" w:rsidRPr="00BD14BD" w:rsidRDefault="004A6FD4" w:rsidP="00226A8A">
            <w:pPr>
              <w:spacing w:line="276" w:lineRule="auto"/>
              <w:jc w:val="center"/>
              <w:rPr>
                <w:szCs w:val="24"/>
                <w:lang w:val="en-CA"/>
              </w:rPr>
            </w:pPr>
            <w:r>
              <w:rPr>
                <w:szCs w:val="24"/>
                <w:lang w:val="en-CA"/>
              </w:rPr>
              <w:t>Low</w:t>
            </w:r>
          </w:p>
        </w:tc>
        <w:tc>
          <w:tcPr>
            <w:tcW w:w="2835" w:type="dxa"/>
            <w:tcBorders>
              <w:top w:val="nil"/>
              <w:left w:val="nil"/>
              <w:bottom w:val="nil"/>
              <w:right w:val="nil"/>
            </w:tcBorders>
            <w:vAlign w:val="center"/>
          </w:tcPr>
          <w:p w14:paraId="272CB062" w14:textId="77777777" w:rsidR="004A6FD4" w:rsidRPr="00BD14BD" w:rsidRDefault="004A6FD4" w:rsidP="00226A8A">
            <w:pPr>
              <w:spacing w:line="276" w:lineRule="auto"/>
              <w:jc w:val="center"/>
              <w:rPr>
                <w:szCs w:val="24"/>
                <w:lang w:val="en-CA"/>
              </w:rPr>
            </w:pPr>
            <w:r>
              <w:rPr>
                <w:szCs w:val="24"/>
                <w:lang w:val="en-CA"/>
              </w:rPr>
              <w:t>2</w:t>
            </w:r>
          </w:p>
        </w:tc>
        <w:tc>
          <w:tcPr>
            <w:tcW w:w="3118" w:type="dxa"/>
            <w:tcBorders>
              <w:top w:val="nil"/>
              <w:left w:val="nil"/>
              <w:bottom w:val="nil"/>
              <w:right w:val="nil"/>
            </w:tcBorders>
            <w:vAlign w:val="center"/>
          </w:tcPr>
          <w:p w14:paraId="787778D7" w14:textId="77777777" w:rsidR="004A6FD4" w:rsidRPr="00BD14BD" w:rsidRDefault="004A6FD4" w:rsidP="00226A8A">
            <w:pPr>
              <w:spacing w:line="276" w:lineRule="auto"/>
              <w:jc w:val="center"/>
              <w:rPr>
                <w:szCs w:val="24"/>
                <w:lang w:val="en-CA"/>
              </w:rPr>
            </w:pPr>
            <w:r>
              <w:rPr>
                <w:szCs w:val="24"/>
                <w:lang w:val="en-CA"/>
              </w:rPr>
              <w:t>L2</w:t>
            </w:r>
          </w:p>
        </w:tc>
      </w:tr>
      <w:tr w:rsidR="004A6FD4" w:rsidRPr="00BD14BD" w14:paraId="37073591" w14:textId="77777777" w:rsidTr="00226A8A">
        <w:trPr>
          <w:trHeight w:hRule="exact" w:val="567"/>
          <w:jc w:val="center"/>
        </w:trPr>
        <w:tc>
          <w:tcPr>
            <w:tcW w:w="1413" w:type="dxa"/>
            <w:tcBorders>
              <w:top w:val="nil"/>
              <w:left w:val="nil"/>
              <w:bottom w:val="nil"/>
              <w:right w:val="nil"/>
            </w:tcBorders>
            <w:vAlign w:val="center"/>
          </w:tcPr>
          <w:p w14:paraId="7E67049E" w14:textId="77777777" w:rsidR="004A6FD4" w:rsidRDefault="004A6FD4" w:rsidP="00226A8A">
            <w:pPr>
              <w:spacing w:line="276" w:lineRule="auto"/>
              <w:jc w:val="center"/>
              <w:rPr>
                <w:bCs w:val="0"/>
                <w:szCs w:val="24"/>
                <w:lang w:val="en-CA"/>
              </w:rPr>
            </w:pPr>
            <w:r>
              <w:rPr>
                <w:bCs w:val="0"/>
                <w:szCs w:val="24"/>
                <w:lang w:val="en-CA"/>
              </w:rPr>
              <w:t>5</w:t>
            </w:r>
          </w:p>
        </w:tc>
        <w:tc>
          <w:tcPr>
            <w:tcW w:w="1984" w:type="dxa"/>
            <w:tcBorders>
              <w:top w:val="nil"/>
              <w:left w:val="nil"/>
              <w:bottom w:val="nil"/>
              <w:right w:val="nil"/>
            </w:tcBorders>
            <w:vAlign w:val="center"/>
          </w:tcPr>
          <w:p w14:paraId="512920ED" w14:textId="77777777" w:rsidR="004A6FD4" w:rsidRPr="00BD14BD" w:rsidRDefault="004A6FD4" w:rsidP="00226A8A">
            <w:pPr>
              <w:spacing w:line="276" w:lineRule="auto"/>
              <w:jc w:val="center"/>
              <w:rPr>
                <w:szCs w:val="24"/>
                <w:lang w:val="en-CA"/>
              </w:rPr>
            </w:pPr>
            <w:r>
              <w:rPr>
                <w:szCs w:val="24"/>
                <w:lang w:val="en-CA"/>
              </w:rPr>
              <w:t>Moderate</w:t>
            </w:r>
          </w:p>
        </w:tc>
        <w:tc>
          <w:tcPr>
            <w:tcW w:w="2835" w:type="dxa"/>
            <w:tcBorders>
              <w:top w:val="nil"/>
              <w:left w:val="nil"/>
              <w:bottom w:val="nil"/>
              <w:right w:val="nil"/>
            </w:tcBorders>
            <w:vAlign w:val="center"/>
          </w:tcPr>
          <w:p w14:paraId="31E103EF" w14:textId="77777777" w:rsidR="004A6FD4" w:rsidRPr="00BD14BD" w:rsidRDefault="004A6FD4" w:rsidP="00226A8A">
            <w:pPr>
              <w:spacing w:line="276" w:lineRule="auto"/>
              <w:jc w:val="center"/>
              <w:rPr>
                <w:szCs w:val="24"/>
                <w:lang w:val="en-CA"/>
              </w:rPr>
            </w:pPr>
            <w:r>
              <w:rPr>
                <w:szCs w:val="24"/>
                <w:lang w:val="en-CA"/>
              </w:rPr>
              <w:t>2</w:t>
            </w:r>
          </w:p>
        </w:tc>
        <w:tc>
          <w:tcPr>
            <w:tcW w:w="3118" w:type="dxa"/>
            <w:tcBorders>
              <w:top w:val="nil"/>
              <w:left w:val="nil"/>
              <w:bottom w:val="nil"/>
              <w:right w:val="nil"/>
            </w:tcBorders>
            <w:vAlign w:val="center"/>
          </w:tcPr>
          <w:p w14:paraId="2060A784" w14:textId="77777777" w:rsidR="004A6FD4" w:rsidRPr="00BD14BD" w:rsidRDefault="004A6FD4" w:rsidP="00226A8A">
            <w:pPr>
              <w:spacing w:line="276" w:lineRule="auto"/>
              <w:jc w:val="center"/>
              <w:rPr>
                <w:szCs w:val="24"/>
                <w:lang w:val="en-CA"/>
              </w:rPr>
            </w:pPr>
            <w:r>
              <w:rPr>
                <w:szCs w:val="24"/>
                <w:lang w:val="en-CA"/>
              </w:rPr>
              <w:t>M2</w:t>
            </w:r>
          </w:p>
        </w:tc>
      </w:tr>
      <w:tr w:rsidR="004A6FD4" w:rsidRPr="00BD14BD" w14:paraId="3CA81C04" w14:textId="77777777" w:rsidTr="00226A8A">
        <w:trPr>
          <w:trHeight w:hRule="exact" w:val="567"/>
          <w:jc w:val="center"/>
        </w:trPr>
        <w:tc>
          <w:tcPr>
            <w:tcW w:w="1413" w:type="dxa"/>
            <w:tcBorders>
              <w:top w:val="nil"/>
              <w:left w:val="nil"/>
              <w:bottom w:val="nil"/>
              <w:right w:val="nil"/>
            </w:tcBorders>
            <w:vAlign w:val="center"/>
          </w:tcPr>
          <w:p w14:paraId="2A9EC183" w14:textId="77777777" w:rsidR="004A6FD4" w:rsidRDefault="004A6FD4" w:rsidP="00226A8A">
            <w:pPr>
              <w:spacing w:line="276" w:lineRule="auto"/>
              <w:jc w:val="center"/>
              <w:rPr>
                <w:bCs w:val="0"/>
                <w:szCs w:val="24"/>
                <w:lang w:val="en-CA"/>
              </w:rPr>
            </w:pPr>
            <w:r>
              <w:rPr>
                <w:bCs w:val="0"/>
                <w:szCs w:val="24"/>
                <w:lang w:val="en-CA"/>
              </w:rPr>
              <w:t>6</w:t>
            </w:r>
          </w:p>
        </w:tc>
        <w:tc>
          <w:tcPr>
            <w:tcW w:w="1984" w:type="dxa"/>
            <w:tcBorders>
              <w:top w:val="nil"/>
              <w:left w:val="nil"/>
              <w:bottom w:val="nil"/>
              <w:right w:val="nil"/>
            </w:tcBorders>
            <w:vAlign w:val="center"/>
          </w:tcPr>
          <w:p w14:paraId="27727D28" w14:textId="77777777" w:rsidR="004A6FD4" w:rsidRPr="00BD14BD" w:rsidRDefault="004A6FD4" w:rsidP="00226A8A">
            <w:pPr>
              <w:spacing w:line="276" w:lineRule="auto"/>
              <w:jc w:val="center"/>
              <w:rPr>
                <w:szCs w:val="24"/>
                <w:lang w:val="en-CA"/>
              </w:rPr>
            </w:pPr>
            <w:r>
              <w:rPr>
                <w:szCs w:val="24"/>
                <w:lang w:val="en-CA"/>
              </w:rPr>
              <w:t>High</w:t>
            </w:r>
          </w:p>
        </w:tc>
        <w:tc>
          <w:tcPr>
            <w:tcW w:w="2835" w:type="dxa"/>
            <w:tcBorders>
              <w:top w:val="nil"/>
              <w:left w:val="nil"/>
              <w:bottom w:val="nil"/>
              <w:right w:val="nil"/>
            </w:tcBorders>
            <w:vAlign w:val="center"/>
          </w:tcPr>
          <w:p w14:paraId="6E3834B4" w14:textId="77777777" w:rsidR="004A6FD4" w:rsidRPr="00BD14BD" w:rsidRDefault="004A6FD4" w:rsidP="00226A8A">
            <w:pPr>
              <w:spacing w:line="276" w:lineRule="auto"/>
              <w:jc w:val="center"/>
              <w:rPr>
                <w:szCs w:val="24"/>
                <w:lang w:val="en-CA"/>
              </w:rPr>
            </w:pPr>
            <w:r>
              <w:rPr>
                <w:szCs w:val="24"/>
                <w:lang w:val="en-CA"/>
              </w:rPr>
              <w:t>2</w:t>
            </w:r>
          </w:p>
        </w:tc>
        <w:tc>
          <w:tcPr>
            <w:tcW w:w="3118" w:type="dxa"/>
            <w:tcBorders>
              <w:top w:val="nil"/>
              <w:left w:val="nil"/>
              <w:bottom w:val="nil"/>
              <w:right w:val="nil"/>
            </w:tcBorders>
            <w:vAlign w:val="center"/>
          </w:tcPr>
          <w:p w14:paraId="7D4AE109" w14:textId="77777777" w:rsidR="004A6FD4" w:rsidRPr="00BD14BD" w:rsidRDefault="004A6FD4" w:rsidP="00226A8A">
            <w:pPr>
              <w:spacing w:line="276" w:lineRule="auto"/>
              <w:jc w:val="center"/>
              <w:rPr>
                <w:szCs w:val="24"/>
                <w:lang w:val="en-CA"/>
              </w:rPr>
            </w:pPr>
            <w:r>
              <w:rPr>
                <w:szCs w:val="24"/>
                <w:lang w:val="en-CA"/>
              </w:rPr>
              <w:t>H2</w:t>
            </w:r>
          </w:p>
        </w:tc>
      </w:tr>
      <w:tr w:rsidR="004A6FD4" w:rsidRPr="00BD14BD" w14:paraId="68E7CD9E" w14:textId="77777777" w:rsidTr="00226A8A">
        <w:trPr>
          <w:trHeight w:hRule="exact" w:val="567"/>
          <w:jc w:val="center"/>
        </w:trPr>
        <w:tc>
          <w:tcPr>
            <w:tcW w:w="1413" w:type="dxa"/>
            <w:tcBorders>
              <w:top w:val="nil"/>
              <w:left w:val="nil"/>
              <w:bottom w:val="nil"/>
              <w:right w:val="nil"/>
            </w:tcBorders>
            <w:vAlign w:val="center"/>
          </w:tcPr>
          <w:p w14:paraId="1847A823" w14:textId="77777777" w:rsidR="004A6FD4" w:rsidRDefault="004A6FD4" w:rsidP="00226A8A">
            <w:pPr>
              <w:spacing w:line="276" w:lineRule="auto"/>
              <w:jc w:val="center"/>
              <w:rPr>
                <w:bCs w:val="0"/>
                <w:szCs w:val="24"/>
                <w:lang w:val="en-CA"/>
              </w:rPr>
            </w:pPr>
            <w:r>
              <w:rPr>
                <w:bCs w:val="0"/>
                <w:szCs w:val="24"/>
                <w:lang w:val="en-CA"/>
              </w:rPr>
              <w:t>7</w:t>
            </w:r>
          </w:p>
        </w:tc>
        <w:tc>
          <w:tcPr>
            <w:tcW w:w="1984" w:type="dxa"/>
            <w:tcBorders>
              <w:top w:val="nil"/>
              <w:left w:val="nil"/>
              <w:bottom w:val="nil"/>
              <w:right w:val="nil"/>
            </w:tcBorders>
            <w:vAlign w:val="center"/>
          </w:tcPr>
          <w:p w14:paraId="100A02A9" w14:textId="77777777" w:rsidR="004A6FD4" w:rsidRPr="00BD14BD" w:rsidRDefault="004A6FD4" w:rsidP="00226A8A">
            <w:pPr>
              <w:spacing w:line="276" w:lineRule="auto"/>
              <w:jc w:val="center"/>
              <w:rPr>
                <w:szCs w:val="24"/>
                <w:lang w:val="en-CA"/>
              </w:rPr>
            </w:pPr>
            <w:r>
              <w:rPr>
                <w:szCs w:val="24"/>
                <w:lang w:val="en-CA"/>
              </w:rPr>
              <w:t>Low</w:t>
            </w:r>
          </w:p>
        </w:tc>
        <w:tc>
          <w:tcPr>
            <w:tcW w:w="2835" w:type="dxa"/>
            <w:tcBorders>
              <w:top w:val="nil"/>
              <w:left w:val="nil"/>
              <w:bottom w:val="nil"/>
              <w:right w:val="nil"/>
            </w:tcBorders>
            <w:vAlign w:val="center"/>
          </w:tcPr>
          <w:p w14:paraId="6B14CCDB" w14:textId="77777777" w:rsidR="004A6FD4" w:rsidRPr="00BD14BD" w:rsidRDefault="004A6FD4" w:rsidP="00226A8A">
            <w:pPr>
              <w:spacing w:line="276" w:lineRule="auto"/>
              <w:jc w:val="center"/>
              <w:rPr>
                <w:szCs w:val="24"/>
                <w:lang w:val="en-CA"/>
              </w:rPr>
            </w:pPr>
            <w:r>
              <w:rPr>
                <w:szCs w:val="24"/>
                <w:lang w:val="en-CA"/>
              </w:rPr>
              <w:t>3</w:t>
            </w:r>
          </w:p>
        </w:tc>
        <w:tc>
          <w:tcPr>
            <w:tcW w:w="3118" w:type="dxa"/>
            <w:tcBorders>
              <w:top w:val="nil"/>
              <w:left w:val="nil"/>
              <w:bottom w:val="nil"/>
              <w:right w:val="nil"/>
            </w:tcBorders>
            <w:vAlign w:val="center"/>
          </w:tcPr>
          <w:p w14:paraId="1803E7FF" w14:textId="77777777" w:rsidR="004A6FD4" w:rsidRPr="00BD14BD" w:rsidRDefault="004A6FD4" w:rsidP="00226A8A">
            <w:pPr>
              <w:spacing w:line="276" w:lineRule="auto"/>
              <w:jc w:val="center"/>
              <w:rPr>
                <w:szCs w:val="24"/>
                <w:lang w:val="en-CA"/>
              </w:rPr>
            </w:pPr>
            <w:r>
              <w:rPr>
                <w:szCs w:val="24"/>
                <w:lang w:val="en-CA"/>
              </w:rPr>
              <w:t>L3</w:t>
            </w:r>
          </w:p>
        </w:tc>
      </w:tr>
      <w:tr w:rsidR="004A6FD4" w:rsidRPr="00BD14BD" w14:paraId="2B416A36" w14:textId="77777777" w:rsidTr="00226A8A">
        <w:trPr>
          <w:trHeight w:hRule="exact" w:val="567"/>
          <w:jc w:val="center"/>
        </w:trPr>
        <w:tc>
          <w:tcPr>
            <w:tcW w:w="1413" w:type="dxa"/>
            <w:tcBorders>
              <w:top w:val="nil"/>
              <w:left w:val="nil"/>
              <w:bottom w:val="nil"/>
              <w:right w:val="nil"/>
            </w:tcBorders>
            <w:vAlign w:val="center"/>
          </w:tcPr>
          <w:p w14:paraId="1FC81824" w14:textId="77777777" w:rsidR="004A6FD4" w:rsidRDefault="004A6FD4" w:rsidP="00226A8A">
            <w:pPr>
              <w:spacing w:line="276" w:lineRule="auto"/>
              <w:jc w:val="center"/>
              <w:rPr>
                <w:bCs w:val="0"/>
                <w:szCs w:val="24"/>
                <w:lang w:val="en-CA"/>
              </w:rPr>
            </w:pPr>
            <w:r>
              <w:rPr>
                <w:bCs w:val="0"/>
                <w:szCs w:val="24"/>
                <w:lang w:val="en-CA"/>
              </w:rPr>
              <w:t>8</w:t>
            </w:r>
          </w:p>
        </w:tc>
        <w:tc>
          <w:tcPr>
            <w:tcW w:w="1984" w:type="dxa"/>
            <w:tcBorders>
              <w:top w:val="nil"/>
              <w:left w:val="nil"/>
              <w:bottom w:val="nil"/>
              <w:right w:val="nil"/>
            </w:tcBorders>
            <w:vAlign w:val="center"/>
          </w:tcPr>
          <w:p w14:paraId="5A52EC93" w14:textId="77777777" w:rsidR="004A6FD4" w:rsidRPr="00BD14BD" w:rsidRDefault="004A6FD4" w:rsidP="00226A8A">
            <w:pPr>
              <w:spacing w:line="276" w:lineRule="auto"/>
              <w:jc w:val="center"/>
              <w:rPr>
                <w:szCs w:val="24"/>
                <w:lang w:val="en-CA"/>
              </w:rPr>
            </w:pPr>
            <w:r>
              <w:rPr>
                <w:szCs w:val="24"/>
                <w:lang w:val="en-CA"/>
              </w:rPr>
              <w:t>Moderate</w:t>
            </w:r>
          </w:p>
        </w:tc>
        <w:tc>
          <w:tcPr>
            <w:tcW w:w="2835" w:type="dxa"/>
            <w:tcBorders>
              <w:top w:val="nil"/>
              <w:left w:val="nil"/>
              <w:bottom w:val="nil"/>
              <w:right w:val="nil"/>
            </w:tcBorders>
            <w:vAlign w:val="center"/>
          </w:tcPr>
          <w:p w14:paraId="3A4AB8E4" w14:textId="77777777" w:rsidR="004A6FD4" w:rsidRPr="00BD14BD" w:rsidRDefault="004A6FD4" w:rsidP="00226A8A">
            <w:pPr>
              <w:spacing w:line="276" w:lineRule="auto"/>
              <w:jc w:val="center"/>
              <w:rPr>
                <w:szCs w:val="24"/>
                <w:lang w:val="en-CA"/>
              </w:rPr>
            </w:pPr>
            <w:r>
              <w:rPr>
                <w:szCs w:val="24"/>
                <w:lang w:val="en-CA"/>
              </w:rPr>
              <w:t>3</w:t>
            </w:r>
          </w:p>
        </w:tc>
        <w:tc>
          <w:tcPr>
            <w:tcW w:w="3118" w:type="dxa"/>
            <w:tcBorders>
              <w:top w:val="nil"/>
              <w:left w:val="nil"/>
              <w:bottom w:val="nil"/>
              <w:right w:val="nil"/>
            </w:tcBorders>
            <w:vAlign w:val="center"/>
          </w:tcPr>
          <w:p w14:paraId="5FA3D579" w14:textId="77777777" w:rsidR="004A6FD4" w:rsidRPr="00BD14BD" w:rsidRDefault="004A6FD4" w:rsidP="00226A8A">
            <w:pPr>
              <w:spacing w:line="276" w:lineRule="auto"/>
              <w:jc w:val="center"/>
              <w:rPr>
                <w:szCs w:val="24"/>
                <w:lang w:val="en-CA"/>
              </w:rPr>
            </w:pPr>
            <w:r>
              <w:rPr>
                <w:szCs w:val="24"/>
                <w:lang w:val="en-CA"/>
              </w:rPr>
              <w:t>M3</w:t>
            </w:r>
          </w:p>
        </w:tc>
      </w:tr>
      <w:tr w:rsidR="004A6FD4" w:rsidRPr="00BD14BD" w14:paraId="672D761D" w14:textId="77777777" w:rsidTr="00226A8A">
        <w:trPr>
          <w:trHeight w:hRule="exact" w:val="567"/>
          <w:jc w:val="center"/>
        </w:trPr>
        <w:tc>
          <w:tcPr>
            <w:tcW w:w="1413" w:type="dxa"/>
            <w:tcBorders>
              <w:top w:val="nil"/>
              <w:left w:val="nil"/>
              <w:bottom w:val="nil"/>
              <w:right w:val="nil"/>
            </w:tcBorders>
            <w:vAlign w:val="center"/>
          </w:tcPr>
          <w:p w14:paraId="079458A3" w14:textId="77777777" w:rsidR="004A6FD4" w:rsidRDefault="004A6FD4" w:rsidP="00226A8A">
            <w:pPr>
              <w:spacing w:line="276" w:lineRule="auto"/>
              <w:jc w:val="center"/>
              <w:rPr>
                <w:bCs w:val="0"/>
                <w:szCs w:val="24"/>
                <w:lang w:val="en-CA"/>
              </w:rPr>
            </w:pPr>
            <w:r>
              <w:rPr>
                <w:bCs w:val="0"/>
                <w:szCs w:val="24"/>
                <w:lang w:val="en-CA"/>
              </w:rPr>
              <w:t>9</w:t>
            </w:r>
          </w:p>
        </w:tc>
        <w:tc>
          <w:tcPr>
            <w:tcW w:w="1984" w:type="dxa"/>
            <w:tcBorders>
              <w:top w:val="nil"/>
              <w:left w:val="nil"/>
              <w:bottom w:val="nil"/>
              <w:right w:val="nil"/>
            </w:tcBorders>
            <w:vAlign w:val="center"/>
          </w:tcPr>
          <w:p w14:paraId="61190F79" w14:textId="77777777" w:rsidR="004A6FD4" w:rsidRPr="00BD14BD" w:rsidRDefault="004A6FD4" w:rsidP="00226A8A">
            <w:pPr>
              <w:spacing w:line="276" w:lineRule="auto"/>
              <w:jc w:val="center"/>
              <w:rPr>
                <w:szCs w:val="24"/>
                <w:lang w:val="en-CA"/>
              </w:rPr>
            </w:pPr>
            <w:r>
              <w:rPr>
                <w:szCs w:val="24"/>
                <w:lang w:val="en-CA"/>
              </w:rPr>
              <w:t>High</w:t>
            </w:r>
          </w:p>
        </w:tc>
        <w:tc>
          <w:tcPr>
            <w:tcW w:w="2835" w:type="dxa"/>
            <w:tcBorders>
              <w:top w:val="nil"/>
              <w:left w:val="nil"/>
              <w:bottom w:val="nil"/>
              <w:right w:val="nil"/>
            </w:tcBorders>
            <w:vAlign w:val="center"/>
          </w:tcPr>
          <w:p w14:paraId="19737FE2" w14:textId="77777777" w:rsidR="004A6FD4" w:rsidRPr="00BD14BD" w:rsidRDefault="004A6FD4" w:rsidP="00226A8A">
            <w:pPr>
              <w:spacing w:line="276" w:lineRule="auto"/>
              <w:jc w:val="center"/>
              <w:rPr>
                <w:szCs w:val="24"/>
                <w:lang w:val="en-CA"/>
              </w:rPr>
            </w:pPr>
            <w:r>
              <w:rPr>
                <w:szCs w:val="24"/>
                <w:lang w:val="en-CA"/>
              </w:rPr>
              <w:t>3</w:t>
            </w:r>
          </w:p>
        </w:tc>
        <w:tc>
          <w:tcPr>
            <w:tcW w:w="3118" w:type="dxa"/>
            <w:tcBorders>
              <w:top w:val="nil"/>
              <w:left w:val="nil"/>
              <w:bottom w:val="nil"/>
              <w:right w:val="nil"/>
            </w:tcBorders>
            <w:vAlign w:val="center"/>
          </w:tcPr>
          <w:p w14:paraId="7EFDBC4B" w14:textId="77777777" w:rsidR="004A6FD4" w:rsidRPr="00BD14BD" w:rsidRDefault="004A6FD4" w:rsidP="00226A8A">
            <w:pPr>
              <w:spacing w:line="276" w:lineRule="auto"/>
              <w:jc w:val="center"/>
              <w:rPr>
                <w:szCs w:val="24"/>
                <w:lang w:val="en-CA"/>
              </w:rPr>
            </w:pPr>
            <w:r>
              <w:rPr>
                <w:szCs w:val="24"/>
                <w:lang w:val="en-CA"/>
              </w:rPr>
              <w:t>H3</w:t>
            </w:r>
          </w:p>
        </w:tc>
      </w:tr>
      <w:tr w:rsidR="004A6FD4" w:rsidRPr="00BD14BD" w14:paraId="023011FB" w14:textId="77777777" w:rsidTr="00226A8A">
        <w:trPr>
          <w:trHeight w:hRule="exact" w:val="567"/>
          <w:jc w:val="center"/>
        </w:trPr>
        <w:tc>
          <w:tcPr>
            <w:tcW w:w="1413" w:type="dxa"/>
            <w:tcBorders>
              <w:top w:val="nil"/>
              <w:left w:val="nil"/>
              <w:bottom w:val="nil"/>
              <w:right w:val="nil"/>
            </w:tcBorders>
            <w:vAlign w:val="center"/>
          </w:tcPr>
          <w:p w14:paraId="561933E4" w14:textId="77777777" w:rsidR="004A6FD4" w:rsidRDefault="004A6FD4" w:rsidP="00226A8A">
            <w:pPr>
              <w:spacing w:line="276" w:lineRule="auto"/>
              <w:jc w:val="center"/>
              <w:rPr>
                <w:bCs w:val="0"/>
                <w:szCs w:val="24"/>
                <w:lang w:val="en-CA"/>
              </w:rPr>
            </w:pPr>
            <w:r>
              <w:rPr>
                <w:bCs w:val="0"/>
                <w:szCs w:val="24"/>
                <w:lang w:val="en-CA"/>
              </w:rPr>
              <w:t>10</w:t>
            </w:r>
          </w:p>
        </w:tc>
        <w:tc>
          <w:tcPr>
            <w:tcW w:w="1984" w:type="dxa"/>
            <w:tcBorders>
              <w:top w:val="nil"/>
              <w:left w:val="nil"/>
              <w:bottom w:val="nil"/>
              <w:right w:val="nil"/>
            </w:tcBorders>
            <w:vAlign w:val="center"/>
          </w:tcPr>
          <w:p w14:paraId="1FE88740" w14:textId="77777777" w:rsidR="004A6FD4" w:rsidRPr="00BD14BD" w:rsidRDefault="004A6FD4" w:rsidP="00226A8A">
            <w:pPr>
              <w:spacing w:line="276" w:lineRule="auto"/>
              <w:jc w:val="center"/>
              <w:rPr>
                <w:szCs w:val="24"/>
                <w:lang w:val="en-CA"/>
              </w:rPr>
            </w:pPr>
            <w:r>
              <w:rPr>
                <w:szCs w:val="24"/>
                <w:lang w:val="en-CA"/>
              </w:rPr>
              <w:t>Low</w:t>
            </w:r>
          </w:p>
        </w:tc>
        <w:tc>
          <w:tcPr>
            <w:tcW w:w="2835" w:type="dxa"/>
            <w:tcBorders>
              <w:top w:val="nil"/>
              <w:left w:val="nil"/>
              <w:bottom w:val="nil"/>
              <w:right w:val="nil"/>
            </w:tcBorders>
            <w:vAlign w:val="center"/>
          </w:tcPr>
          <w:p w14:paraId="3699586D" w14:textId="77777777" w:rsidR="004A6FD4" w:rsidRPr="00BD14BD" w:rsidRDefault="004A6FD4" w:rsidP="00226A8A">
            <w:pPr>
              <w:spacing w:line="276" w:lineRule="auto"/>
              <w:jc w:val="center"/>
              <w:rPr>
                <w:szCs w:val="24"/>
                <w:lang w:val="en-CA"/>
              </w:rPr>
            </w:pPr>
            <w:r>
              <w:rPr>
                <w:szCs w:val="24"/>
                <w:lang w:val="en-CA"/>
              </w:rPr>
              <w:t>0</w:t>
            </w:r>
          </w:p>
        </w:tc>
        <w:tc>
          <w:tcPr>
            <w:tcW w:w="3118" w:type="dxa"/>
            <w:tcBorders>
              <w:top w:val="nil"/>
              <w:left w:val="nil"/>
              <w:bottom w:val="nil"/>
              <w:right w:val="nil"/>
            </w:tcBorders>
            <w:vAlign w:val="center"/>
          </w:tcPr>
          <w:p w14:paraId="33E20D96" w14:textId="77777777" w:rsidR="004A6FD4" w:rsidRPr="00BD14BD" w:rsidRDefault="004A6FD4" w:rsidP="00226A8A">
            <w:pPr>
              <w:spacing w:line="276" w:lineRule="auto"/>
              <w:jc w:val="center"/>
              <w:rPr>
                <w:szCs w:val="24"/>
                <w:lang w:val="en-CA"/>
              </w:rPr>
            </w:pPr>
            <w:r>
              <w:rPr>
                <w:szCs w:val="24"/>
                <w:lang w:val="en-CA"/>
              </w:rPr>
              <w:t>CL</w:t>
            </w:r>
          </w:p>
        </w:tc>
      </w:tr>
      <w:tr w:rsidR="004A6FD4" w:rsidRPr="00BD14BD" w14:paraId="0BD40825" w14:textId="77777777" w:rsidTr="00226A8A">
        <w:trPr>
          <w:trHeight w:hRule="exact" w:val="567"/>
          <w:jc w:val="center"/>
        </w:trPr>
        <w:tc>
          <w:tcPr>
            <w:tcW w:w="1413" w:type="dxa"/>
            <w:tcBorders>
              <w:top w:val="nil"/>
              <w:left w:val="nil"/>
              <w:bottom w:val="nil"/>
              <w:right w:val="nil"/>
            </w:tcBorders>
            <w:vAlign w:val="center"/>
          </w:tcPr>
          <w:p w14:paraId="092E7F89" w14:textId="77777777" w:rsidR="004A6FD4" w:rsidRDefault="004A6FD4" w:rsidP="00226A8A">
            <w:pPr>
              <w:spacing w:line="276" w:lineRule="auto"/>
              <w:jc w:val="center"/>
              <w:rPr>
                <w:bCs w:val="0"/>
                <w:szCs w:val="24"/>
                <w:lang w:val="en-CA"/>
              </w:rPr>
            </w:pPr>
            <w:r>
              <w:rPr>
                <w:bCs w:val="0"/>
                <w:szCs w:val="24"/>
                <w:lang w:val="en-CA"/>
              </w:rPr>
              <w:t>11</w:t>
            </w:r>
          </w:p>
        </w:tc>
        <w:tc>
          <w:tcPr>
            <w:tcW w:w="1984" w:type="dxa"/>
            <w:tcBorders>
              <w:top w:val="nil"/>
              <w:left w:val="nil"/>
              <w:bottom w:val="nil"/>
              <w:right w:val="nil"/>
            </w:tcBorders>
            <w:vAlign w:val="center"/>
          </w:tcPr>
          <w:p w14:paraId="57DF6AD6" w14:textId="77777777" w:rsidR="004A6FD4" w:rsidRPr="00BD14BD" w:rsidRDefault="004A6FD4" w:rsidP="00226A8A">
            <w:pPr>
              <w:spacing w:line="276" w:lineRule="auto"/>
              <w:jc w:val="center"/>
              <w:rPr>
                <w:szCs w:val="24"/>
                <w:lang w:val="en-CA"/>
              </w:rPr>
            </w:pPr>
            <w:r>
              <w:rPr>
                <w:szCs w:val="24"/>
                <w:lang w:val="en-CA"/>
              </w:rPr>
              <w:t>Moderate</w:t>
            </w:r>
          </w:p>
        </w:tc>
        <w:tc>
          <w:tcPr>
            <w:tcW w:w="2835" w:type="dxa"/>
            <w:tcBorders>
              <w:top w:val="nil"/>
              <w:left w:val="nil"/>
              <w:bottom w:val="nil"/>
              <w:right w:val="nil"/>
            </w:tcBorders>
            <w:vAlign w:val="center"/>
          </w:tcPr>
          <w:p w14:paraId="311269D4" w14:textId="77777777" w:rsidR="004A6FD4" w:rsidRPr="00BD14BD" w:rsidRDefault="004A6FD4" w:rsidP="00226A8A">
            <w:pPr>
              <w:spacing w:line="276" w:lineRule="auto"/>
              <w:jc w:val="center"/>
              <w:rPr>
                <w:szCs w:val="24"/>
                <w:lang w:val="en-CA"/>
              </w:rPr>
            </w:pPr>
            <w:r>
              <w:rPr>
                <w:szCs w:val="24"/>
                <w:lang w:val="en-CA"/>
              </w:rPr>
              <w:t>0</w:t>
            </w:r>
          </w:p>
        </w:tc>
        <w:tc>
          <w:tcPr>
            <w:tcW w:w="3118" w:type="dxa"/>
            <w:tcBorders>
              <w:top w:val="nil"/>
              <w:left w:val="nil"/>
              <w:bottom w:val="nil"/>
              <w:right w:val="nil"/>
            </w:tcBorders>
            <w:vAlign w:val="center"/>
          </w:tcPr>
          <w:p w14:paraId="2A72A942" w14:textId="77777777" w:rsidR="004A6FD4" w:rsidRPr="00BD14BD" w:rsidRDefault="004A6FD4" w:rsidP="00226A8A">
            <w:pPr>
              <w:spacing w:line="276" w:lineRule="auto"/>
              <w:jc w:val="center"/>
              <w:rPr>
                <w:szCs w:val="24"/>
                <w:lang w:val="en-CA"/>
              </w:rPr>
            </w:pPr>
            <w:r>
              <w:rPr>
                <w:szCs w:val="24"/>
                <w:lang w:val="en-CA"/>
              </w:rPr>
              <w:t>CM</w:t>
            </w:r>
          </w:p>
        </w:tc>
      </w:tr>
      <w:tr w:rsidR="004A6FD4" w:rsidRPr="00BD14BD" w14:paraId="272AA1CD" w14:textId="77777777" w:rsidTr="00226A8A">
        <w:trPr>
          <w:trHeight w:hRule="exact" w:val="567"/>
          <w:jc w:val="center"/>
        </w:trPr>
        <w:tc>
          <w:tcPr>
            <w:tcW w:w="1413" w:type="dxa"/>
            <w:tcBorders>
              <w:top w:val="nil"/>
              <w:left w:val="nil"/>
              <w:bottom w:val="nil"/>
              <w:right w:val="nil"/>
            </w:tcBorders>
            <w:vAlign w:val="center"/>
          </w:tcPr>
          <w:p w14:paraId="60492BA3" w14:textId="77777777" w:rsidR="004A6FD4" w:rsidRDefault="004A6FD4" w:rsidP="00226A8A">
            <w:pPr>
              <w:spacing w:line="276" w:lineRule="auto"/>
              <w:jc w:val="center"/>
              <w:rPr>
                <w:bCs w:val="0"/>
                <w:szCs w:val="24"/>
                <w:lang w:val="en-CA"/>
              </w:rPr>
            </w:pPr>
            <w:r>
              <w:rPr>
                <w:bCs w:val="0"/>
                <w:szCs w:val="24"/>
                <w:lang w:val="en-CA"/>
              </w:rPr>
              <w:t>12</w:t>
            </w:r>
          </w:p>
        </w:tc>
        <w:tc>
          <w:tcPr>
            <w:tcW w:w="1984" w:type="dxa"/>
            <w:tcBorders>
              <w:top w:val="nil"/>
              <w:left w:val="nil"/>
              <w:bottom w:val="nil"/>
              <w:right w:val="nil"/>
            </w:tcBorders>
            <w:vAlign w:val="center"/>
          </w:tcPr>
          <w:p w14:paraId="721BEEE5" w14:textId="77777777" w:rsidR="004A6FD4" w:rsidRPr="00BD14BD" w:rsidRDefault="004A6FD4" w:rsidP="00226A8A">
            <w:pPr>
              <w:spacing w:line="276" w:lineRule="auto"/>
              <w:jc w:val="center"/>
              <w:rPr>
                <w:szCs w:val="24"/>
                <w:lang w:val="en-CA"/>
              </w:rPr>
            </w:pPr>
            <w:r>
              <w:rPr>
                <w:szCs w:val="24"/>
                <w:lang w:val="en-CA"/>
              </w:rPr>
              <w:t>High</w:t>
            </w:r>
          </w:p>
        </w:tc>
        <w:tc>
          <w:tcPr>
            <w:tcW w:w="2835" w:type="dxa"/>
            <w:tcBorders>
              <w:top w:val="nil"/>
              <w:left w:val="nil"/>
              <w:bottom w:val="nil"/>
              <w:right w:val="nil"/>
            </w:tcBorders>
            <w:vAlign w:val="center"/>
          </w:tcPr>
          <w:p w14:paraId="34A8A980" w14:textId="77777777" w:rsidR="004A6FD4" w:rsidRPr="00BD14BD" w:rsidRDefault="004A6FD4" w:rsidP="00226A8A">
            <w:pPr>
              <w:spacing w:line="276" w:lineRule="auto"/>
              <w:jc w:val="center"/>
              <w:rPr>
                <w:szCs w:val="24"/>
                <w:lang w:val="en-CA"/>
              </w:rPr>
            </w:pPr>
            <w:r>
              <w:rPr>
                <w:szCs w:val="24"/>
                <w:lang w:val="en-CA"/>
              </w:rPr>
              <w:t>0</w:t>
            </w:r>
          </w:p>
        </w:tc>
        <w:tc>
          <w:tcPr>
            <w:tcW w:w="3118" w:type="dxa"/>
            <w:tcBorders>
              <w:top w:val="nil"/>
              <w:left w:val="nil"/>
              <w:bottom w:val="nil"/>
              <w:right w:val="nil"/>
            </w:tcBorders>
            <w:vAlign w:val="center"/>
          </w:tcPr>
          <w:p w14:paraId="457B52F7" w14:textId="77777777" w:rsidR="004A6FD4" w:rsidRPr="00BD14BD" w:rsidRDefault="004A6FD4" w:rsidP="00226A8A">
            <w:pPr>
              <w:spacing w:line="276" w:lineRule="auto"/>
              <w:jc w:val="center"/>
              <w:rPr>
                <w:szCs w:val="24"/>
                <w:lang w:val="en-CA"/>
              </w:rPr>
            </w:pPr>
            <w:r>
              <w:rPr>
                <w:szCs w:val="24"/>
                <w:lang w:val="en-CA"/>
              </w:rPr>
              <w:t>CH</w:t>
            </w:r>
          </w:p>
        </w:tc>
      </w:tr>
      <w:tr w:rsidR="004A6FD4" w:rsidRPr="00BD14BD" w14:paraId="23622F60" w14:textId="77777777" w:rsidTr="00226A8A">
        <w:trPr>
          <w:trHeight w:hRule="exact" w:val="567"/>
          <w:jc w:val="center"/>
        </w:trPr>
        <w:tc>
          <w:tcPr>
            <w:tcW w:w="1413" w:type="dxa"/>
            <w:tcBorders>
              <w:top w:val="nil"/>
              <w:left w:val="nil"/>
              <w:bottom w:val="nil"/>
              <w:right w:val="nil"/>
            </w:tcBorders>
            <w:vAlign w:val="center"/>
          </w:tcPr>
          <w:p w14:paraId="298E07AC" w14:textId="77777777" w:rsidR="004A6FD4" w:rsidRDefault="004A6FD4" w:rsidP="00226A8A">
            <w:pPr>
              <w:spacing w:before="0" w:line="276" w:lineRule="auto"/>
              <w:jc w:val="center"/>
              <w:rPr>
                <w:bCs w:val="0"/>
                <w:szCs w:val="24"/>
                <w:lang w:val="en-CA"/>
              </w:rPr>
            </w:pPr>
          </w:p>
        </w:tc>
        <w:tc>
          <w:tcPr>
            <w:tcW w:w="1984" w:type="dxa"/>
            <w:tcBorders>
              <w:top w:val="nil"/>
              <w:left w:val="nil"/>
              <w:bottom w:val="nil"/>
              <w:right w:val="nil"/>
            </w:tcBorders>
            <w:vAlign w:val="center"/>
          </w:tcPr>
          <w:p w14:paraId="48C90EED" w14:textId="77777777" w:rsidR="004A6FD4" w:rsidRDefault="004A6FD4" w:rsidP="00226A8A">
            <w:pPr>
              <w:spacing w:before="0" w:line="276" w:lineRule="auto"/>
              <w:jc w:val="center"/>
              <w:rPr>
                <w:szCs w:val="24"/>
                <w:lang w:val="en-CA"/>
              </w:rPr>
            </w:pPr>
          </w:p>
        </w:tc>
        <w:tc>
          <w:tcPr>
            <w:tcW w:w="2835" w:type="dxa"/>
            <w:tcBorders>
              <w:top w:val="nil"/>
              <w:left w:val="nil"/>
              <w:bottom w:val="nil"/>
              <w:right w:val="nil"/>
            </w:tcBorders>
            <w:vAlign w:val="center"/>
          </w:tcPr>
          <w:p w14:paraId="644E71D6" w14:textId="77777777" w:rsidR="004A6FD4" w:rsidRDefault="004A6FD4" w:rsidP="00226A8A">
            <w:pPr>
              <w:spacing w:before="0" w:line="276" w:lineRule="auto"/>
              <w:jc w:val="center"/>
              <w:rPr>
                <w:szCs w:val="24"/>
                <w:lang w:val="en-CA"/>
              </w:rPr>
            </w:pPr>
          </w:p>
        </w:tc>
        <w:tc>
          <w:tcPr>
            <w:tcW w:w="3118" w:type="dxa"/>
            <w:tcBorders>
              <w:top w:val="nil"/>
              <w:left w:val="nil"/>
              <w:bottom w:val="nil"/>
              <w:right w:val="nil"/>
            </w:tcBorders>
            <w:vAlign w:val="center"/>
          </w:tcPr>
          <w:p w14:paraId="3072137B" w14:textId="77777777" w:rsidR="004A6FD4" w:rsidRDefault="004A6FD4" w:rsidP="00226A8A">
            <w:pPr>
              <w:spacing w:before="0" w:line="276" w:lineRule="auto"/>
              <w:jc w:val="center"/>
              <w:rPr>
                <w:szCs w:val="24"/>
                <w:lang w:val="en-CA"/>
              </w:rPr>
            </w:pPr>
          </w:p>
        </w:tc>
      </w:tr>
    </w:tbl>
    <w:p w14:paraId="3504E1A5" w14:textId="11197CD7" w:rsidR="004A6FD4" w:rsidRDefault="004A6FD4" w:rsidP="004775A3">
      <w:pPr>
        <w:spacing w:line="480" w:lineRule="auto"/>
        <w:rPr>
          <w:lang w:val="en-GB"/>
        </w:rPr>
      </w:pPr>
    </w:p>
    <w:p w14:paraId="19D6F26A" w14:textId="721FB216" w:rsidR="004A6FD4" w:rsidRDefault="004A6FD4" w:rsidP="004775A3">
      <w:pPr>
        <w:spacing w:line="480" w:lineRule="auto"/>
        <w:rPr>
          <w:lang w:val="en-GB"/>
        </w:rPr>
      </w:pPr>
    </w:p>
    <w:p w14:paraId="44FFEFC0" w14:textId="36C8A31B" w:rsidR="004A6FD4" w:rsidRDefault="004A6FD4" w:rsidP="004775A3">
      <w:pPr>
        <w:spacing w:line="480" w:lineRule="auto"/>
        <w:rPr>
          <w:lang w:val="en-GB"/>
        </w:rPr>
      </w:pPr>
    </w:p>
    <w:p w14:paraId="18B1DC6A" w14:textId="77777777" w:rsidR="00626EDF" w:rsidRDefault="00626EDF" w:rsidP="00626EDF">
      <w:pPr>
        <w:keepNext/>
      </w:pPr>
      <w:r>
        <w:rPr>
          <w:noProof/>
        </w:rPr>
        <w:lastRenderedPageBreak/>
        <w:drawing>
          <wp:inline distT="0" distB="0" distL="0" distR="0" wp14:anchorId="0C879268" wp14:editId="480868D6">
            <wp:extent cx="5731510" cy="4304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4030"/>
                    </a:xfrm>
                    <a:prstGeom prst="rect">
                      <a:avLst/>
                    </a:prstGeom>
                    <a:noFill/>
                    <a:ln>
                      <a:noFill/>
                    </a:ln>
                  </pic:spPr>
                </pic:pic>
              </a:graphicData>
            </a:graphic>
          </wp:inline>
        </w:drawing>
      </w:r>
    </w:p>
    <w:p w14:paraId="7A61946A" w14:textId="77777777" w:rsidR="00626EDF" w:rsidRPr="00100F23" w:rsidRDefault="00626EDF" w:rsidP="00626EDF">
      <w:pPr>
        <w:pStyle w:val="Caption"/>
        <w:rPr>
          <w:i w:val="0"/>
          <w:iCs w:val="0"/>
          <w:color w:val="auto"/>
          <w:sz w:val="24"/>
          <w:szCs w:val="24"/>
          <w:lang w:val="en-CA"/>
        </w:rPr>
      </w:pPr>
      <w:bookmarkStart w:id="58" w:name="_Ref81345268"/>
      <w:bookmarkStart w:id="59" w:name="_Toc81346864"/>
      <w:r w:rsidRPr="00100F23">
        <w:rPr>
          <w:b/>
          <w:bCs w:val="0"/>
          <w:i w:val="0"/>
          <w:iCs w:val="0"/>
          <w:color w:val="auto"/>
          <w:sz w:val="24"/>
          <w:szCs w:val="24"/>
          <w:lang w:val="en-GB"/>
        </w:rPr>
        <w:t xml:space="preserve">Figure </w:t>
      </w:r>
      <w:r>
        <w:rPr>
          <w:b/>
          <w:bCs w:val="0"/>
          <w:i w:val="0"/>
          <w:iCs w:val="0"/>
          <w:color w:val="auto"/>
          <w:sz w:val="24"/>
          <w:szCs w:val="24"/>
          <w:lang w:val="en-GB"/>
        </w:rPr>
        <w:fldChar w:fldCharType="begin"/>
      </w:r>
      <w:r>
        <w:rPr>
          <w:b/>
          <w:bCs w:val="0"/>
          <w:i w:val="0"/>
          <w:iCs w:val="0"/>
          <w:color w:val="auto"/>
          <w:sz w:val="24"/>
          <w:szCs w:val="24"/>
          <w:lang w:val="en-GB"/>
        </w:rPr>
        <w:instrText xml:space="preserve"> SEQ Figure \* ARABIC \s 1 </w:instrText>
      </w:r>
      <w:r>
        <w:rPr>
          <w:b/>
          <w:bCs w:val="0"/>
          <w:i w:val="0"/>
          <w:iCs w:val="0"/>
          <w:color w:val="auto"/>
          <w:sz w:val="24"/>
          <w:szCs w:val="24"/>
          <w:lang w:val="en-GB"/>
        </w:rPr>
        <w:fldChar w:fldCharType="separate"/>
      </w:r>
      <w:r>
        <w:rPr>
          <w:b/>
          <w:bCs w:val="0"/>
          <w:i w:val="0"/>
          <w:iCs w:val="0"/>
          <w:noProof/>
          <w:color w:val="auto"/>
          <w:sz w:val="24"/>
          <w:szCs w:val="24"/>
          <w:lang w:val="en-GB"/>
        </w:rPr>
        <w:t>1</w:t>
      </w:r>
      <w:r>
        <w:rPr>
          <w:b/>
          <w:bCs w:val="0"/>
          <w:i w:val="0"/>
          <w:iCs w:val="0"/>
          <w:color w:val="auto"/>
          <w:sz w:val="24"/>
          <w:szCs w:val="24"/>
          <w:lang w:val="en-GB"/>
        </w:rPr>
        <w:fldChar w:fldCharType="end"/>
      </w:r>
      <w:bookmarkEnd w:id="58"/>
      <w:r>
        <w:rPr>
          <w:b/>
          <w:bCs w:val="0"/>
          <w:i w:val="0"/>
          <w:iCs w:val="0"/>
          <w:color w:val="auto"/>
          <w:sz w:val="24"/>
          <w:szCs w:val="24"/>
          <w:lang w:val="en-GB"/>
        </w:rPr>
        <w:t xml:space="preserve"> </w:t>
      </w:r>
      <w:r w:rsidRPr="00100F23">
        <w:rPr>
          <w:b/>
          <w:bCs w:val="0"/>
          <w:i w:val="0"/>
          <w:iCs w:val="0"/>
          <w:color w:val="auto"/>
          <w:sz w:val="24"/>
          <w:szCs w:val="24"/>
          <w:lang w:val="en-GB"/>
        </w:rPr>
        <w:t>:</w:t>
      </w:r>
      <w:r w:rsidRPr="00100F23">
        <w:rPr>
          <w:i w:val="0"/>
          <w:iCs w:val="0"/>
          <w:color w:val="auto"/>
          <w:sz w:val="24"/>
          <w:szCs w:val="24"/>
          <w:lang w:val="en-GB"/>
        </w:rPr>
        <w:t xml:space="preserve"> Probability of dispersal of an individual as a function of geographic distance, in three different dispersal scenarios.</w:t>
      </w:r>
      <w:bookmarkEnd w:id="59"/>
    </w:p>
    <w:p w14:paraId="4A2607AB" w14:textId="77777777" w:rsidR="00626EDF" w:rsidRPr="00626EDF" w:rsidRDefault="00626EDF" w:rsidP="004775A3">
      <w:pPr>
        <w:spacing w:line="480" w:lineRule="auto"/>
        <w:rPr>
          <w:lang w:val="en-CA"/>
        </w:rPr>
      </w:pPr>
    </w:p>
    <w:p w14:paraId="62DC0D33" w14:textId="77777777" w:rsidR="00E53A8E" w:rsidRDefault="00E53A8E" w:rsidP="00E53A8E">
      <w:pPr>
        <w:keepNext/>
      </w:pPr>
      <w:r>
        <w:rPr>
          <w:noProof/>
        </w:rPr>
        <w:lastRenderedPageBreak/>
        <w:drawing>
          <wp:inline distT="0" distB="0" distL="0" distR="0" wp14:anchorId="1AF8F459" wp14:editId="5BC2B2E7">
            <wp:extent cx="5731510" cy="43040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04030"/>
                    </a:xfrm>
                    <a:prstGeom prst="rect">
                      <a:avLst/>
                    </a:prstGeom>
                    <a:noFill/>
                    <a:ln>
                      <a:noFill/>
                    </a:ln>
                  </pic:spPr>
                </pic:pic>
              </a:graphicData>
            </a:graphic>
          </wp:inline>
        </w:drawing>
      </w:r>
    </w:p>
    <w:p w14:paraId="2EF34A8D" w14:textId="77777777" w:rsidR="00E53A8E" w:rsidRPr="00100F23" w:rsidRDefault="00E53A8E" w:rsidP="00E53A8E">
      <w:pPr>
        <w:pStyle w:val="Caption"/>
        <w:rPr>
          <w:i w:val="0"/>
          <w:iCs w:val="0"/>
          <w:color w:val="auto"/>
          <w:sz w:val="24"/>
          <w:szCs w:val="24"/>
          <w:lang w:val="en-CA"/>
        </w:rPr>
      </w:pPr>
      <w:bookmarkStart w:id="60" w:name="_Ref81345534"/>
      <w:bookmarkStart w:id="61" w:name="_Toc81346865"/>
      <w:r w:rsidRPr="00100F23">
        <w:rPr>
          <w:b/>
          <w:bCs w:val="0"/>
          <w:i w:val="0"/>
          <w:iCs w:val="0"/>
          <w:color w:val="auto"/>
          <w:sz w:val="24"/>
          <w:szCs w:val="24"/>
          <w:lang w:val="en-GB"/>
        </w:rPr>
        <w:t xml:space="preserve">Figure </w:t>
      </w:r>
      <w:r>
        <w:rPr>
          <w:b/>
          <w:bCs w:val="0"/>
          <w:i w:val="0"/>
          <w:iCs w:val="0"/>
          <w:color w:val="auto"/>
          <w:sz w:val="24"/>
          <w:szCs w:val="24"/>
          <w:lang w:val="en-GB"/>
        </w:rPr>
        <w:fldChar w:fldCharType="begin"/>
      </w:r>
      <w:r>
        <w:rPr>
          <w:b/>
          <w:bCs w:val="0"/>
          <w:i w:val="0"/>
          <w:iCs w:val="0"/>
          <w:color w:val="auto"/>
          <w:sz w:val="24"/>
          <w:szCs w:val="24"/>
          <w:lang w:val="en-GB"/>
        </w:rPr>
        <w:instrText xml:space="preserve"> SEQ Figure \* ARABIC \s 1 </w:instrText>
      </w:r>
      <w:r>
        <w:rPr>
          <w:b/>
          <w:bCs w:val="0"/>
          <w:i w:val="0"/>
          <w:iCs w:val="0"/>
          <w:color w:val="auto"/>
          <w:sz w:val="24"/>
          <w:szCs w:val="24"/>
          <w:lang w:val="en-GB"/>
        </w:rPr>
        <w:fldChar w:fldCharType="separate"/>
      </w:r>
      <w:r>
        <w:rPr>
          <w:b/>
          <w:bCs w:val="0"/>
          <w:i w:val="0"/>
          <w:iCs w:val="0"/>
          <w:noProof/>
          <w:color w:val="auto"/>
          <w:sz w:val="24"/>
          <w:szCs w:val="24"/>
          <w:lang w:val="en-GB"/>
        </w:rPr>
        <w:t>2</w:t>
      </w:r>
      <w:r>
        <w:rPr>
          <w:b/>
          <w:bCs w:val="0"/>
          <w:i w:val="0"/>
          <w:iCs w:val="0"/>
          <w:color w:val="auto"/>
          <w:sz w:val="24"/>
          <w:szCs w:val="24"/>
          <w:lang w:val="en-GB"/>
        </w:rPr>
        <w:fldChar w:fldCharType="end"/>
      </w:r>
      <w:bookmarkEnd w:id="60"/>
      <w:r>
        <w:rPr>
          <w:i w:val="0"/>
          <w:iCs w:val="0"/>
          <w:color w:val="auto"/>
          <w:sz w:val="24"/>
          <w:szCs w:val="24"/>
          <w:lang w:val="en-GB"/>
        </w:rPr>
        <w:t xml:space="preserve"> </w:t>
      </w:r>
      <w:r w:rsidRPr="00100F23">
        <w:rPr>
          <w:b/>
          <w:bCs w:val="0"/>
          <w:i w:val="0"/>
          <w:iCs w:val="0"/>
          <w:color w:val="auto"/>
          <w:sz w:val="24"/>
          <w:szCs w:val="24"/>
          <w:lang w:val="en-GB"/>
        </w:rPr>
        <w:t>:</w:t>
      </w:r>
      <w:bookmarkStart w:id="62" w:name="_Toc79589524"/>
      <w:r w:rsidRPr="00100F23">
        <w:rPr>
          <w:b/>
          <w:bCs w:val="0"/>
          <w:i w:val="0"/>
          <w:iCs w:val="0"/>
          <w:color w:val="auto"/>
          <w:sz w:val="24"/>
          <w:szCs w:val="24"/>
          <w:lang w:val="en-GB"/>
        </w:rPr>
        <w:t xml:space="preserve"> </w:t>
      </w:r>
      <w:r w:rsidRPr="00100F23">
        <w:rPr>
          <w:i w:val="0"/>
          <w:iCs w:val="0"/>
          <w:color w:val="auto"/>
          <w:sz w:val="24"/>
          <w:szCs w:val="24"/>
          <w:lang w:val="en-CA"/>
        </w:rPr>
        <w:t>FPR across all threshold and scenarios. Control experiments are shown with dashed lines. Those values are for samplings done at the 100 and 101 generations 100 and 101, i.e., right before and after the migration event. 95% confidence intervals of the FPR estimates are displayed by vertical bars.</w:t>
      </w:r>
      <w:bookmarkEnd w:id="61"/>
      <w:bookmarkEnd w:id="62"/>
    </w:p>
    <w:p w14:paraId="467FC1B6" w14:textId="77777777" w:rsidR="00E53A8E" w:rsidRDefault="00E53A8E" w:rsidP="00E53A8E">
      <w:pPr>
        <w:keepNext/>
      </w:pPr>
      <w:r>
        <w:rPr>
          <w:noProof/>
        </w:rPr>
        <w:lastRenderedPageBreak/>
        <w:drawing>
          <wp:inline distT="0" distB="0" distL="0" distR="0" wp14:anchorId="57562713" wp14:editId="1F25F7F8">
            <wp:extent cx="5731510" cy="43040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04030"/>
                    </a:xfrm>
                    <a:prstGeom prst="rect">
                      <a:avLst/>
                    </a:prstGeom>
                    <a:noFill/>
                    <a:ln>
                      <a:noFill/>
                    </a:ln>
                  </pic:spPr>
                </pic:pic>
              </a:graphicData>
            </a:graphic>
          </wp:inline>
        </w:drawing>
      </w:r>
    </w:p>
    <w:p w14:paraId="2E374FB1" w14:textId="77777777" w:rsidR="00E53A8E" w:rsidRPr="00100F23" w:rsidRDefault="00E53A8E" w:rsidP="00E53A8E">
      <w:pPr>
        <w:pStyle w:val="Caption"/>
        <w:rPr>
          <w:i w:val="0"/>
          <w:iCs w:val="0"/>
          <w:color w:val="auto"/>
          <w:sz w:val="24"/>
          <w:szCs w:val="24"/>
          <w:lang w:val="en-CA"/>
        </w:rPr>
      </w:pPr>
      <w:bookmarkStart w:id="63" w:name="_Ref81345656"/>
      <w:bookmarkStart w:id="64" w:name="_Toc81346866"/>
      <w:r w:rsidRPr="00100F23">
        <w:rPr>
          <w:b/>
          <w:bCs w:val="0"/>
          <w:i w:val="0"/>
          <w:iCs w:val="0"/>
          <w:color w:val="auto"/>
          <w:sz w:val="24"/>
          <w:szCs w:val="24"/>
          <w:lang w:val="en-GB"/>
        </w:rPr>
        <w:t xml:space="preserve">Figure </w:t>
      </w:r>
      <w:r>
        <w:rPr>
          <w:b/>
          <w:bCs w:val="0"/>
          <w:i w:val="0"/>
          <w:iCs w:val="0"/>
          <w:color w:val="auto"/>
          <w:sz w:val="24"/>
          <w:szCs w:val="24"/>
          <w:lang w:val="en-GB"/>
        </w:rPr>
        <w:fldChar w:fldCharType="begin"/>
      </w:r>
      <w:r>
        <w:rPr>
          <w:b/>
          <w:bCs w:val="0"/>
          <w:i w:val="0"/>
          <w:iCs w:val="0"/>
          <w:color w:val="auto"/>
          <w:sz w:val="24"/>
          <w:szCs w:val="24"/>
          <w:lang w:val="en-GB"/>
        </w:rPr>
        <w:instrText xml:space="preserve"> SEQ Figure \* ARABIC \s 1 </w:instrText>
      </w:r>
      <w:r>
        <w:rPr>
          <w:b/>
          <w:bCs w:val="0"/>
          <w:i w:val="0"/>
          <w:iCs w:val="0"/>
          <w:color w:val="auto"/>
          <w:sz w:val="24"/>
          <w:szCs w:val="24"/>
          <w:lang w:val="en-GB"/>
        </w:rPr>
        <w:fldChar w:fldCharType="separate"/>
      </w:r>
      <w:r>
        <w:rPr>
          <w:b/>
          <w:bCs w:val="0"/>
          <w:i w:val="0"/>
          <w:iCs w:val="0"/>
          <w:noProof/>
          <w:color w:val="auto"/>
          <w:sz w:val="24"/>
          <w:szCs w:val="24"/>
          <w:lang w:val="en-GB"/>
        </w:rPr>
        <w:t>3</w:t>
      </w:r>
      <w:r>
        <w:rPr>
          <w:b/>
          <w:bCs w:val="0"/>
          <w:i w:val="0"/>
          <w:iCs w:val="0"/>
          <w:color w:val="auto"/>
          <w:sz w:val="24"/>
          <w:szCs w:val="24"/>
          <w:lang w:val="en-GB"/>
        </w:rPr>
        <w:fldChar w:fldCharType="end"/>
      </w:r>
      <w:bookmarkStart w:id="65" w:name="_Toc79589525"/>
      <w:bookmarkEnd w:id="63"/>
      <w:r w:rsidRPr="00100F23">
        <w:rPr>
          <w:b/>
          <w:bCs w:val="0"/>
          <w:i w:val="0"/>
          <w:iCs w:val="0"/>
          <w:color w:val="auto"/>
          <w:sz w:val="24"/>
          <w:szCs w:val="24"/>
          <w:lang w:val="en-GB"/>
        </w:rPr>
        <w:t> :</w:t>
      </w:r>
      <w:r w:rsidRPr="00100F23">
        <w:rPr>
          <w:i w:val="0"/>
          <w:iCs w:val="0"/>
          <w:color w:val="auto"/>
          <w:sz w:val="24"/>
          <w:szCs w:val="24"/>
          <w:lang w:val="en-CA"/>
        </w:rPr>
        <w:t xml:space="preserve"> FNR across all threshold and scenarios. There are no control experiment results displayed for FNR because there are no possible true positives in control experiments, hence no false negatives either. Those values are for samplings done at generations 100 and 101, i.e., right before and after the migration event. 95% confidence intervals of the FNR estimates are displayed by vertical bars. Very low thresholds (i.e., &lt; 0.01) are so conservative that they sometimes lead to no population being selected. Symbols overlap for some scenarios (those with only one affected population for example), which reach a null FNR.</w:t>
      </w:r>
      <w:bookmarkEnd w:id="64"/>
      <w:bookmarkEnd w:id="65"/>
    </w:p>
    <w:p w14:paraId="75317E21" w14:textId="77777777" w:rsidR="00E53A8E" w:rsidRPr="00E53A8E" w:rsidRDefault="00E53A8E" w:rsidP="004775A3">
      <w:pPr>
        <w:spacing w:line="480" w:lineRule="auto"/>
        <w:rPr>
          <w:lang w:val="en-CA"/>
        </w:rPr>
      </w:pPr>
    </w:p>
    <w:p w14:paraId="1AA0A59D" w14:textId="77777777" w:rsidR="00E53A8E" w:rsidRDefault="00E53A8E" w:rsidP="00E53A8E">
      <w:pPr>
        <w:keepNext/>
      </w:pPr>
      <w:r w:rsidRPr="00BD14BD">
        <w:rPr>
          <w:noProof/>
          <w:lang w:val="en-CA"/>
        </w:rPr>
        <w:lastRenderedPageBreak/>
        <w:drawing>
          <wp:anchor distT="0" distB="0" distL="114300" distR="114300" simplePos="0" relativeHeight="251666432" behindDoc="0" locked="0" layoutInCell="1" allowOverlap="1" wp14:anchorId="20B89B1E" wp14:editId="65238BA3">
            <wp:simplePos x="0" y="0"/>
            <wp:positionH relativeFrom="column">
              <wp:posOffset>351790</wp:posOffset>
            </wp:positionH>
            <wp:positionV relativeFrom="paragraph">
              <wp:posOffset>4581525</wp:posOffset>
            </wp:positionV>
            <wp:extent cx="4453049" cy="27178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3049" cy="27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4BD">
        <w:rPr>
          <w:noProof/>
          <w:lang w:val="en-CA"/>
        </w:rPr>
        <w:drawing>
          <wp:anchor distT="0" distB="0" distL="114300" distR="114300" simplePos="0" relativeHeight="251665408" behindDoc="0" locked="0" layoutInCell="1" allowOverlap="1" wp14:anchorId="1FB0DFD5" wp14:editId="5F87AC45">
            <wp:simplePos x="0" y="0"/>
            <wp:positionH relativeFrom="column">
              <wp:posOffset>2800349</wp:posOffset>
            </wp:positionH>
            <wp:positionV relativeFrom="paragraph">
              <wp:posOffset>4552950</wp:posOffset>
            </wp:positionV>
            <wp:extent cx="2775457" cy="361950"/>
            <wp:effectExtent l="0" t="0" r="635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6471" cy="362082"/>
                    </a:xfrm>
                    <a:prstGeom prst="rect">
                      <a:avLst/>
                    </a:prstGeom>
                    <a:noFill/>
                  </pic:spPr>
                </pic:pic>
              </a:graphicData>
            </a:graphic>
            <wp14:sizeRelH relativeFrom="margin">
              <wp14:pctWidth>0</wp14:pctWidth>
            </wp14:sizeRelH>
            <wp14:sizeRelV relativeFrom="margin">
              <wp14:pctHeight>0</wp14:pctHeight>
            </wp14:sizeRelV>
          </wp:anchor>
        </w:drawing>
      </w:r>
      <w:r w:rsidRPr="00BD14BD">
        <w:rPr>
          <w:noProof/>
          <w:lang w:val="en-CA"/>
        </w:rPr>
        <mc:AlternateContent>
          <mc:Choice Requires="wps">
            <w:drawing>
              <wp:anchor distT="0" distB="0" distL="114300" distR="114300" simplePos="0" relativeHeight="251663360" behindDoc="0" locked="0" layoutInCell="1" allowOverlap="1" wp14:anchorId="72E8AE40" wp14:editId="6371CFA0">
                <wp:simplePos x="0" y="0"/>
                <wp:positionH relativeFrom="column">
                  <wp:posOffset>7620</wp:posOffset>
                </wp:positionH>
                <wp:positionV relativeFrom="paragraph">
                  <wp:posOffset>4429125</wp:posOffset>
                </wp:positionV>
                <wp:extent cx="2657475" cy="104775"/>
                <wp:effectExtent l="0" t="0" r="9525" b="9525"/>
                <wp:wrapNone/>
                <wp:docPr id="18" name="Double flèche horizontale 18"/>
                <wp:cNvGraphicFramePr/>
                <a:graphic xmlns:a="http://schemas.openxmlformats.org/drawingml/2006/main">
                  <a:graphicData uri="http://schemas.microsoft.com/office/word/2010/wordprocessingShape">
                    <wps:wsp>
                      <wps:cNvSpPr/>
                      <wps:spPr>
                        <a:xfrm>
                          <a:off x="0" y="0"/>
                          <a:ext cx="2657475" cy="104775"/>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39FFA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8" o:spid="_x0000_s1026" type="#_x0000_t69" style="position:absolute;margin-left:.6pt;margin-top:348.75pt;width:209.25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" adj="426" fillcolor="black [3213]" stroked="f" strokeweight="1pt"/>
            </w:pict>
          </mc:Fallback>
        </mc:AlternateContent>
      </w:r>
      <w:r w:rsidRPr="00BD14BD">
        <w:rPr>
          <w:noProof/>
          <w:lang w:val="en-CA"/>
        </w:rPr>
        <mc:AlternateContent>
          <mc:Choice Requires="wps">
            <w:drawing>
              <wp:anchor distT="0" distB="0" distL="114300" distR="114300" simplePos="0" relativeHeight="251664384" behindDoc="0" locked="0" layoutInCell="1" allowOverlap="1" wp14:anchorId="20370910" wp14:editId="7A637FC7">
                <wp:simplePos x="0" y="0"/>
                <wp:positionH relativeFrom="column">
                  <wp:posOffset>2740991</wp:posOffset>
                </wp:positionH>
                <wp:positionV relativeFrom="paragraph">
                  <wp:posOffset>4428876</wp:posOffset>
                </wp:positionV>
                <wp:extent cx="2619375" cy="104775"/>
                <wp:effectExtent l="0" t="0" r="9525" b="9525"/>
                <wp:wrapNone/>
                <wp:docPr id="19" name="Double flèche horizontale 19"/>
                <wp:cNvGraphicFramePr/>
                <a:graphic xmlns:a="http://schemas.openxmlformats.org/drawingml/2006/main">
                  <a:graphicData uri="http://schemas.microsoft.com/office/word/2010/wordprocessingShape">
                    <wps:wsp>
                      <wps:cNvSpPr/>
                      <wps:spPr>
                        <a:xfrm>
                          <a:off x="0" y="0"/>
                          <a:ext cx="2619375" cy="104775"/>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3F14A5" id="Double flèche horizontale 19" o:spid="_x0000_s1026" type="#_x0000_t69" style="position:absolute;margin-left:215.85pt;margin-top:348.75pt;width:206.25pt;height: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" adj="432" fillcolor="black [3213]" stroked="f" strokeweight="1pt"/>
            </w:pict>
          </mc:Fallback>
        </mc:AlternateContent>
      </w:r>
      <w:r>
        <w:rPr>
          <w:noProof/>
        </w:rPr>
        <w:drawing>
          <wp:inline distT="0" distB="0" distL="0" distR="0" wp14:anchorId="5629F4BF" wp14:editId="229F1C2E">
            <wp:extent cx="5731510" cy="43040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04030"/>
                    </a:xfrm>
                    <a:prstGeom prst="rect">
                      <a:avLst/>
                    </a:prstGeom>
                    <a:noFill/>
                    <a:ln>
                      <a:noFill/>
                    </a:ln>
                  </pic:spPr>
                </pic:pic>
              </a:graphicData>
            </a:graphic>
          </wp:inline>
        </w:drawing>
      </w:r>
    </w:p>
    <w:p w14:paraId="1FFE2D29" w14:textId="77777777" w:rsidR="00E53A8E" w:rsidRDefault="00E53A8E" w:rsidP="00E53A8E">
      <w:pPr>
        <w:pStyle w:val="Caption"/>
      </w:pPr>
    </w:p>
    <w:p w14:paraId="75174F6A" w14:textId="77777777" w:rsidR="00E53A8E" w:rsidRPr="00100F23" w:rsidRDefault="00E53A8E" w:rsidP="00E53A8E">
      <w:pPr>
        <w:pStyle w:val="Caption"/>
        <w:rPr>
          <w:i w:val="0"/>
          <w:iCs w:val="0"/>
          <w:color w:val="auto"/>
          <w:sz w:val="24"/>
          <w:szCs w:val="24"/>
          <w:lang w:val="en-CA"/>
        </w:rPr>
      </w:pPr>
      <w:bookmarkStart w:id="66" w:name="_Ref81345996"/>
      <w:bookmarkStart w:id="67" w:name="_Toc81346867"/>
      <w:r w:rsidRPr="00100F23">
        <w:rPr>
          <w:b/>
          <w:bCs w:val="0"/>
          <w:i w:val="0"/>
          <w:iCs w:val="0"/>
          <w:color w:val="auto"/>
          <w:sz w:val="24"/>
          <w:szCs w:val="24"/>
          <w:lang w:val="en-GB"/>
        </w:rPr>
        <w:t xml:space="preserve">Figure </w:t>
      </w:r>
      <w:r>
        <w:rPr>
          <w:b/>
          <w:bCs w:val="0"/>
          <w:i w:val="0"/>
          <w:iCs w:val="0"/>
          <w:color w:val="auto"/>
          <w:sz w:val="24"/>
          <w:szCs w:val="24"/>
          <w:lang w:val="en-GB"/>
        </w:rPr>
        <w:fldChar w:fldCharType="begin"/>
      </w:r>
      <w:r>
        <w:rPr>
          <w:b/>
          <w:bCs w:val="0"/>
          <w:i w:val="0"/>
          <w:iCs w:val="0"/>
          <w:color w:val="auto"/>
          <w:sz w:val="24"/>
          <w:szCs w:val="24"/>
          <w:lang w:val="en-GB"/>
        </w:rPr>
        <w:instrText xml:space="preserve"> SEQ Figure \* ARABIC \s 1 </w:instrText>
      </w:r>
      <w:r>
        <w:rPr>
          <w:b/>
          <w:bCs w:val="0"/>
          <w:i w:val="0"/>
          <w:iCs w:val="0"/>
          <w:color w:val="auto"/>
          <w:sz w:val="24"/>
          <w:szCs w:val="24"/>
          <w:lang w:val="en-GB"/>
        </w:rPr>
        <w:fldChar w:fldCharType="separate"/>
      </w:r>
      <w:r>
        <w:rPr>
          <w:b/>
          <w:bCs w:val="0"/>
          <w:i w:val="0"/>
          <w:iCs w:val="0"/>
          <w:noProof/>
          <w:color w:val="auto"/>
          <w:sz w:val="24"/>
          <w:szCs w:val="24"/>
          <w:lang w:val="en-GB"/>
        </w:rPr>
        <w:t>4</w:t>
      </w:r>
      <w:r>
        <w:rPr>
          <w:b/>
          <w:bCs w:val="0"/>
          <w:i w:val="0"/>
          <w:iCs w:val="0"/>
          <w:color w:val="auto"/>
          <w:sz w:val="24"/>
          <w:szCs w:val="24"/>
          <w:lang w:val="en-GB"/>
        </w:rPr>
        <w:fldChar w:fldCharType="end"/>
      </w:r>
      <w:bookmarkEnd w:id="66"/>
      <w:r w:rsidRPr="00100F23">
        <w:rPr>
          <w:b/>
          <w:bCs w:val="0"/>
          <w:i w:val="0"/>
          <w:iCs w:val="0"/>
          <w:color w:val="auto"/>
          <w:sz w:val="24"/>
          <w:szCs w:val="24"/>
          <w:lang w:val="en-GB"/>
        </w:rPr>
        <w:t> :</w:t>
      </w:r>
      <w:bookmarkStart w:id="68" w:name="_Toc79589526"/>
      <w:r>
        <w:rPr>
          <w:i w:val="0"/>
          <w:iCs w:val="0"/>
          <w:color w:val="auto"/>
          <w:sz w:val="24"/>
          <w:szCs w:val="24"/>
          <w:lang w:val="en-GB"/>
        </w:rPr>
        <w:t xml:space="preserve"> </w:t>
      </w:r>
      <w:r w:rsidRPr="00100F23">
        <w:rPr>
          <w:i w:val="0"/>
          <w:iCs w:val="0"/>
          <w:color w:val="auto"/>
          <w:sz w:val="24"/>
          <w:szCs w:val="24"/>
          <w:lang w:val="en-CA"/>
        </w:rPr>
        <w:t>FNR from TGI tests performed between surveys carried out up to 9 generations before or after the migration event (arrow) when compared with surveys done the generation after the event for prior sampling, or the generation before the event for posterior sampling. 95% confidence intervals are displayed by bars.</w:t>
      </w:r>
      <w:bookmarkEnd w:id="67"/>
      <w:bookmarkEnd w:id="68"/>
    </w:p>
    <w:p w14:paraId="1A4E8754" w14:textId="77777777" w:rsidR="00E53A8E" w:rsidRDefault="00E53A8E" w:rsidP="00E53A8E">
      <w:pPr>
        <w:keepNext/>
      </w:pPr>
      <w:r w:rsidRPr="00BD14BD">
        <w:rPr>
          <w:noProof/>
          <w:lang w:val="en-CA"/>
        </w:rPr>
        <w:lastRenderedPageBreak/>
        <w:drawing>
          <wp:anchor distT="0" distB="0" distL="114300" distR="114300" simplePos="0" relativeHeight="251662336" behindDoc="0" locked="0" layoutInCell="1" allowOverlap="1" wp14:anchorId="4D08CD8D" wp14:editId="65C286F1">
            <wp:simplePos x="0" y="0"/>
            <wp:positionH relativeFrom="column">
              <wp:posOffset>2733040</wp:posOffset>
            </wp:positionH>
            <wp:positionV relativeFrom="paragraph">
              <wp:posOffset>4579632</wp:posOffset>
            </wp:positionV>
            <wp:extent cx="2921533" cy="38100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1533" cy="381000"/>
                    </a:xfrm>
                    <a:prstGeom prst="rect">
                      <a:avLst/>
                    </a:prstGeom>
                    <a:noFill/>
                  </pic:spPr>
                </pic:pic>
              </a:graphicData>
            </a:graphic>
            <wp14:sizeRelH relativeFrom="margin">
              <wp14:pctWidth>0</wp14:pctWidth>
            </wp14:sizeRelH>
            <wp14:sizeRelV relativeFrom="margin">
              <wp14:pctHeight>0</wp14:pctHeight>
            </wp14:sizeRelV>
          </wp:anchor>
        </w:drawing>
      </w:r>
      <w:r w:rsidRPr="00BD14BD">
        <w:rPr>
          <w:noProof/>
          <w:lang w:val="en-CA"/>
        </w:rPr>
        <w:drawing>
          <wp:anchor distT="0" distB="0" distL="114300" distR="114300" simplePos="0" relativeHeight="251661312" behindDoc="0" locked="0" layoutInCell="1" allowOverlap="1" wp14:anchorId="72BFBAE4" wp14:editId="4071B9E2">
            <wp:simplePos x="0" y="0"/>
            <wp:positionH relativeFrom="margin">
              <wp:align>left</wp:align>
            </wp:positionH>
            <wp:positionV relativeFrom="paragraph">
              <wp:posOffset>4566285</wp:posOffset>
            </wp:positionV>
            <wp:extent cx="2681329" cy="399618"/>
            <wp:effectExtent l="0" t="0" r="5080" b="635"/>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1329" cy="399618"/>
                    </a:xfrm>
                    <a:prstGeom prst="rect">
                      <a:avLst/>
                    </a:prstGeom>
                    <a:noFill/>
                  </pic:spPr>
                </pic:pic>
              </a:graphicData>
            </a:graphic>
            <wp14:sizeRelH relativeFrom="margin">
              <wp14:pctWidth>0</wp14:pctWidth>
            </wp14:sizeRelH>
            <wp14:sizeRelV relativeFrom="margin">
              <wp14:pctHeight>0</wp14:pctHeight>
            </wp14:sizeRelV>
          </wp:anchor>
        </w:drawing>
      </w:r>
      <w:r w:rsidRPr="00BD14BD">
        <w:rPr>
          <w:noProof/>
          <w:lang w:val="en-CA"/>
        </w:rPr>
        <mc:AlternateContent>
          <mc:Choice Requires="wps">
            <w:drawing>
              <wp:anchor distT="0" distB="0" distL="114300" distR="114300" simplePos="0" relativeHeight="251660288" behindDoc="0" locked="0" layoutInCell="1" allowOverlap="1" wp14:anchorId="65F4F315" wp14:editId="011E609F">
                <wp:simplePos x="0" y="0"/>
                <wp:positionH relativeFrom="column">
                  <wp:posOffset>2733040</wp:posOffset>
                </wp:positionH>
                <wp:positionV relativeFrom="paragraph">
                  <wp:posOffset>4396740</wp:posOffset>
                </wp:positionV>
                <wp:extent cx="2619375" cy="104775"/>
                <wp:effectExtent l="0" t="0" r="9525" b="9525"/>
                <wp:wrapNone/>
                <wp:docPr id="194" name="Double flèche horizontale 15"/>
                <wp:cNvGraphicFramePr/>
                <a:graphic xmlns:a="http://schemas.openxmlformats.org/drawingml/2006/main">
                  <a:graphicData uri="http://schemas.microsoft.com/office/word/2010/wordprocessingShape">
                    <wps:wsp>
                      <wps:cNvSpPr/>
                      <wps:spPr>
                        <a:xfrm>
                          <a:off x="0" y="0"/>
                          <a:ext cx="2619375" cy="104775"/>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CAF81" id="Double flèche horizontale 15" o:spid="_x0000_s1026" type="#_x0000_t69" style="position:absolute;margin-left:215.2pt;margin-top:346.2pt;width:206.25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" adj="432" fillcolor="black [3213]" stroked="f" strokeweight="1pt"/>
            </w:pict>
          </mc:Fallback>
        </mc:AlternateContent>
      </w:r>
      <w:r w:rsidRPr="00BD14BD">
        <w:rPr>
          <w:noProof/>
          <w:lang w:val="en-CA"/>
        </w:rPr>
        <mc:AlternateContent>
          <mc:Choice Requires="wps">
            <w:drawing>
              <wp:anchor distT="0" distB="0" distL="114300" distR="114300" simplePos="0" relativeHeight="251659264" behindDoc="0" locked="0" layoutInCell="1" allowOverlap="1" wp14:anchorId="056D6E22" wp14:editId="5226D4EF">
                <wp:simplePos x="0" y="0"/>
                <wp:positionH relativeFrom="column">
                  <wp:posOffset>0</wp:posOffset>
                </wp:positionH>
                <wp:positionV relativeFrom="paragraph">
                  <wp:posOffset>4397707</wp:posOffset>
                </wp:positionV>
                <wp:extent cx="2657475" cy="104775"/>
                <wp:effectExtent l="0" t="0" r="9525" b="9525"/>
                <wp:wrapNone/>
                <wp:docPr id="193" name="Double flèche horizontale 14"/>
                <wp:cNvGraphicFramePr/>
                <a:graphic xmlns:a="http://schemas.openxmlformats.org/drawingml/2006/main">
                  <a:graphicData uri="http://schemas.microsoft.com/office/word/2010/wordprocessingShape">
                    <wps:wsp>
                      <wps:cNvSpPr/>
                      <wps:spPr>
                        <a:xfrm>
                          <a:off x="0" y="0"/>
                          <a:ext cx="2657475" cy="104775"/>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574708" id="Double flèche horizontale 14" o:spid="_x0000_s1026" type="#_x0000_t69" style="position:absolute;margin-left:0;margin-top:346.3pt;width:209.2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" adj="426" fillcolor="black [3213]" stroked="f" strokeweight="1pt"/>
            </w:pict>
          </mc:Fallback>
        </mc:AlternateContent>
      </w:r>
      <w:r>
        <w:rPr>
          <w:noProof/>
        </w:rPr>
        <w:drawing>
          <wp:inline distT="0" distB="0" distL="0" distR="0" wp14:anchorId="36C3BE35" wp14:editId="0E64C8A1">
            <wp:extent cx="5731510" cy="43040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04030"/>
                    </a:xfrm>
                    <a:prstGeom prst="rect">
                      <a:avLst/>
                    </a:prstGeom>
                    <a:noFill/>
                    <a:ln>
                      <a:noFill/>
                    </a:ln>
                  </pic:spPr>
                </pic:pic>
              </a:graphicData>
            </a:graphic>
          </wp:inline>
        </w:drawing>
      </w:r>
    </w:p>
    <w:p w14:paraId="51AA51B2" w14:textId="77777777" w:rsidR="00E53A8E" w:rsidRDefault="00E53A8E" w:rsidP="00E53A8E">
      <w:pPr>
        <w:pStyle w:val="Caption"/>
        <w:rPr>
          <w:lang w:val="en-GB"/>
        </w:rPr>
      </w:pPr>
    </w:p>
    <w:p w14:paraId="0E0CEBA4" w14:textId="77777777" w:rsidR="00E53A8E" w:rsidRPr="00100F23" w:rsidRDefault="00E53A8E" w:rsidP="00E53A8E">
      <w:pPr>
        <w:pStyle w:val="Caption"/>
        <w:rPr>
          <w:i w:val="0"/>
          <w:iCs w:val="0"/>
          <w:color w:val="auto"/>
          <w:sz w:val="24"/>
          <w:szCs w:val="24"/>
          <w:lang w:val="en-CA"/>
        </w:rPr>
      </w:pPr>
      <w:bookmarkStart w:id="69" w:name="_Ref81346002"/>
      <w:bookmarkStart w:id="70" w:name="_Toc81346868"/>
      <w:r w:rsidRPr="00100F23">
        <w:rPr>
          <w:b/>
          <w:bCs w:val="0"/>
          <w:i w:val="0"/>
          <w:iCs w:val="0"/>
          <w:color w:val="auto"/>
          <w:sz w:val="24"/>
          <w:szCs w:val="24"/>
          <w:lang w:val="en-GB"/>
        </w:rPr>
        <w:t xml:space="preserve">Figure </w:t>
      </w:r>
      <w:r w:rsidRPr="00100F23">
        <w:rPr>
          <w:b/>
          <w:bCs w:val="0"/>
          <w:i w:val="0"/>
          <w:iCs w:val="0"/>
          <w:color w:val="auto"/>
          <w:sz w:val="24"/>
          <w:szCs w:val="24"/>
        </w:rPr>
        <w:fldChar w:fldCharType="begin"/>
      </w:r>
      <w:r w:rsidRPr="00100F23">
        <w:rPr>
          <w:b/>
          <w:bCs w:val="0"/>
          <w:i w:val="0"/>
          <w:iCs w:val="0"/>
          <w:color w:val="auto"/>
          <w:sz w:val="24"/>
          <w:szCs w:val="24"/>
          <w:lang w:val="en-GB"/>
        </w:rPr>
        <w:instrText xml:space="preserve"> SEQ Figure \* ARABIC \s 1 </w:instrText>
      </w:r>
      <w:r w:rsidRPr="00100F23">
        <w:rPr>
          <w:b/>
          <w:bCs w:val="0"/>
          <w:i w:val="0"/>
          <w:iCs w:val="0"/>
          <w:color w:val="auto"/>
          <w:sz w:val="24"/>
          <w:szCs w:val="24"/>
        </w:rPr>
        <w:fldChar w:fldCharType="separate"/>
      </w:r>
      <w:r>
        <w:rPr>
          <w:b/>
          <w:bCs w:val="0"/>
          <w:i w:val="0"/>
          <w:iCs w:val="0"/>
          <w:noProof/>
          <w:color w:val="auto"/>
          <w:sz w:val="24"/>
          <w:szCs w:val="24"/>
          <w:lang w:val="en-GB"/>
        </w:rPr>
        <w:t>5</w:t>
      </w:r>
      <w:r w:rsidRPr="00100F23">
        <w:rPr>
          <w:b/>
          <w:bCs w:val="0"/>
          <w:i w:val="0"/>
          <w:iCs w:val="0"/>
          <w:color w:val="auto"/>
          <w:sz w:val="24"/>
          <w:szCs w:val="24"/>
        </w:rPr>
        <w:fldChar w:fldCharType="end"/>
      </w:r>
      <w:bookmarkEnd w:id="69"/>
      <w:r w:rsidRPr="00100F23">
        <w:rPr>
          <w:b/>
          <w:bCs w:val="0"/>
          <w:i w:val="0"/>
          <w:iCs w:val="0"/>
          <w:color w:val="auto"/>
          <w:sz w:val="24"/>
          <w:szCs w:val="24"/>
          <w:lang w:val="en-GB"/>
        </w:rPr>
        <w:t> :</w:t>
      </w:r>
      <w:bookmarkStart w:id="71" w:name="_Toc79589527"/>
      <w:r w:rsidRPr="00100F23">
        <w:rPr>
          <w:i w:val="0"/>
          <w:iCs w:val="0"/>
          <w:color w:val="auto"/>
          <w:sz w:val="24"/>
          <w:szCs w:val="24"/>
          <w:lang w:val="en-GB"/>
        </w:rPr>
        <w:t xml:space="preserve"> </w:t>
      </w:r>
      <w:r w:rsidRPr="00100F23">
        <w:rPr>
          <w:rFonts w:eastAsia="Times New Roman"/>
          <w:i w:val="0"/>
          <w:iCs w:val="0"/>
          <w:color w:val="auto"/>
          <w:sz w:val="24"/>
          <w:szCs w:val="24"/>
          <w:lang w:val="en-CA"/>
        </w:rPr>
        <w:t>FPR from TGI tests performed between surveys executed up to 9 generations before or after the event (arrow) when compared with surveys done the generation after the event for prior sampling, or the generation before the event for posterior sampling. 95% confidence intervals are displayed by bars.</w:t>
      </w:r>
      <w:bookmarkEnd w:id="70"/>
      <w:bookmarkEnd w:id="71"/>
    </w:p>
    <w:p w14:paraId="07E4864D" w14:textId="51164020" w:rsidR="004A6FD4" w:rsidRDefault="004A6FD4" w:rsidP="004775A3">
      <w:pPr>
        <w:spacing w:line="480" w:lineRule="auto"/>
        <w:rPr>
          <w:lang w:val="en-GB"/>
        </w:rPr>
      </w:pPr>
    </w:p>
    <w:p w14:paraId="5DA6F4E6" w14:textId="11633F42" w:rsidR="00E53A8E" w:rsidRDefault="00E53A8E" w:rsidP="004775A3">
      <w:pPr>
        <w:spacing w:line="480" w:lineRule="auto"/>
        <w:rPr>
          <w:lang w:val="en-GB"/>
        </w:rPr>
      </w:pPr>
    </w:p>
    <w:p w14:paraId="277E74AF" w14:textId="611A961E" w:rsidR="00E53A8E" w:rsidRDefault="00E53A8E" w:rsidP="004775A3">
      <w:pPr>
        <w:spacing w:line="480" w:lineRule="auto"/>
        <w:rPr>
          <w:lang w:val="en-GB"/>
        </w:rPr>
      </w:pPr>
    </w:p>
    <w:p w14:paraId="53FDDE3B" w14:textId="42EDC92D" w:rsidR="00E53A8E" w:rsidRDefault="00E53A8E" w:rsidP="004775A3">
      <w:pPr>
        <w:spacing w:line="480" w:lineRule="auto"/>
        <w:rPr>
          <w:lang w:val="en-GB"/>
        </w:rPr>
      </w:pPr>
    </w:p>
    <w:p w14:paraId="374B9492" w14:textId="3179594A" w:rsidR="00E53A8E" w:rsidRDefault="00E53A8E" w:rsidP="004775A3">
      <w:pPr>
        <w:spacing w:line="480" w:lineRule="auto"/>
        <w:rPr>
          <w:lang w:val="en-GB"/>
        </w:rPr>
      </w:pPr>
    </w:p>
    <w:sectPr w:rsidR="00E53A8E" w:rsidSect="006D76B2">
      <w:footerReference w:type="default" r:id="rId18"/>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0A136" w14:textId="77777777" w:rsidR="00C1492F" w:rsidRDefault="00C1492F" w:rsidP="006D76B2">
      <w:pPr>
        <w:spacing w:before="0" w:after="0" w:line="240" w:lineRule="auto"/>
      </w:pPr>
      <w:r>
        <w:separator/>
      </w:r>
    </w:p>
  </w:endnote>
  <w:endnote w:type="continuationSeparator" w:id="0">
    <w:p w14:paraId="3D09BBD6" w14:textId="77777777" w:rsidR="00C1492F" w:rsidRDefault="00C1492F" w:rsidP="006D76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6790110"/>
      <w:docPartObj>
        <w:docPartGallery w:val="Page Numbers (Bottom of Page)"/>
        <w:docPartUnique/>
      </w:docPartObj>
    </w:sdtPr>
    <w:sdtEndPr>
      <w:rPr>
        <w:noProof/>
      </w:rPr>
    </w:sdtEndPr>
    <w:sdtContent>
      <w:p w14:paraId="4547870D" w14:textId="10A9A973" w:rsidR="006D76B2" w:rsidRDefault="006D76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62000" w14:textId="77777777" w:rsidR="006D76B2" w:rsidRDefault="006D7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5A6A4" w14:textId="77777777" w:rsidR="00C1492F" w:rsidRDefault="00C1492F" w:rsidP="006D76B2">
      <w:pPr>
        <w:spacing w:before="0" w:after="0" w:line="240" w:lineRule="auto"/>
      </w:pPr>
      <w:r>
        <w:separator/>
      </w:r>
    </w:p>
  </w:footnote>
  <w:footnote w:type="continuationSeparator" w:id="0">
    <w:p w14:paraId="58D9480C" w14:textId="77777777" w:rsidR="00C1492F" w:rsidRDefault="00C1492F" w:rsidP="006D76B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0D92"/>
    <w:multiLevelType w:val="hybridMultilevel"/>
    <w:tmpl w:val="3E1288C4"/>
    <w:lvl w:ilvl="0" w:tplc="6E2A9E52">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2187D97"/>
    <w:multiLevelType w:val="hybridMultilevel"/>
    <w:tmpl w:val="64F8DBD4"/>
    <w:lvl w:ilvl="0" w:tplc="7BEEF2C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B7D71"/>
    <w:multiLevelType w:val="multilevel"/>
    <w:tmpl w:val="6550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E581A"/>
    <w:multiLevelType w:val="hybridMultilevel"/>
    <w:tmpl w:val="2F785F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8293908"/>
    <w:multiLevelType w:val="hybridMultilevel"/>
    <w:tmpl w:val="37D2FD3C"/>
    <w:lvl w:ilvl="0" w:tplc="7BEEF2C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FA38A6"/>
    <w:multiLevelType w:val="multilevel"/>
    <w:tmpl w:val="E8083DA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4E4484"/>
    <w:multiLevelType w:val="hybridMultilevel"/>
    <w:tmpl w:val="3D96FF1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139859AB"/>
    <w:multiLevelType w:val="hybridMultilevel"/>
    <w:tmpl w:val="3C923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328D3"/>
    <w:multiLevelType w:val="multilevel"/>
    <w:tmpl w:val="9F2245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55F0775"/>
    <w:multiLevelType w:val="hybridMultilevel"/>
    <w:tmpl w:val="7D34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218A3"/>
    <w:multiLevelType w:val="hybridMultilevel"/>
    <w:tmpl w:val="B6962C3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0B488C"/>
    <w:multiLevelType w:val="multilevel"/>
    <w:tmpl w:val="D430C26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6749B3"/>
    <w:multiLevelType w:val="hybridMultilevel"/>
    <w:tmpl w:val="05DC2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812B21"/>
    <w:multiLevelType w:val="hybridMultilevel"/>
    <w:tmpl w:val="B36CA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1A6AA5"/>
    <w:multiLevelType w:val="hybridMultilevel"/>
    <w:tmpl w:val="25C8D6F2"/>
    <w:lvl w:ilvl="0" w:tplc="F9FCF7F0">
      <w:start w:val="1"/>
      <w:numFmt w:val="decimal"/>
      <w:lvlText w:val="%1."/>
      <w:lvlJc w:val="left"/>
      <w:pPr>
        <w:ind w:left="360" w:hanging="360"/>
      </w:pPr>
      <w:rPr>
        <w:color w:val="FFFFFF" w:themeColor="background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2C86F8A"/>
    <w:multiLevelType w:val="hybridMultilevel"/>
    <w:tmpl w:val="4B3EDD2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4BE2109"/>
    <w:multiLevelType w:val="hybridMultilevel"/>
    <w:tmpl w:val="0ADE3D0C"/>
    <w:lvl w:ilvl="0" w:tplc="7BEEF2C0">
      <w:numFmt w:val="bullet"/>
      <w:lvlText w:val="-"/>
      <w:lvlJc w:val="left"/>
      <w:pPr>
        <w:ind w:left="360" w:hanging="360"/>
      </w:pPr>
      <w:rPr>
        <w:rFonts w:ascii="Times New Roman" w:eastAsiaTheme="minorHAnsi" w:hAnsi="Times New Roman"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1" w15:restartNumberingAfterBreak="0">
    <w:nsid w:val="38ED2163"/>
    <w:multiLevelType w:val="hybridMultilevel"/>
    <w:tmpl w:val="81B8FF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F00BD"/>
    <w:multiLevelType w:val="hybridMultilevel"/>
    <w:tmpl w:val="A52E7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32910"/>
    <w:multiLevelType w:val="hybridMultilevel"/>
    <w:tmpl w:val="D7A0C464"/>
    <w:lvl w:ilvl="0" w:tplc="20F838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1B1B17"/>
    <w:multiLevelType w:val="multilevel"/>
    <w:tmpl w:val="43DE15CE"/>
    <w:lvl w:ilvl="0">
      <w:start w:val="1"/>
      <w:numFmt w:val="decimal"/>
      <w:suff w:val="space"/>
      <w:lvlText w:val="Chapter %1"/>
      <w:lvlJc w:val="left"/>
      <w:pPr>
        <w:ind w:left="2410" w:firstLine="0"/>
      </w:pPr>
      <w:rPr>
        <w:b/>
        <w:bCs/>
        <w:caps/>
        <w:lang w:val="en-GB"/>
      </w:r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7" w15:restartNumberingAfterBreak="0">
    <w:nsid w:val="5E800F02"/>
    <w:multiLevelType w:val="hybridMultilevel"/>
    <w:tmpl w:val="C394BFB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15:restartNumberingAfterBreak="0">
    <w:nsid w:val="68844B77"/>
    <w:multiLevelType w:val="hybridMultilevel"/>
    <w:tmpl w:val="ECCE1A5A"/>
    <w:lvl w:ilvl="0" w:tplc="618496B0">
      <w:start w:val="1"/>
      <w:numFmt w:val="decimal"/>
      <w:pStyle w:val="Heading6"/>
      <w:lvlText w:val="%1."/>
      <w:lvlJc w:val="left"/>
      <w:pPr>
        <w:ind w:left="360" w:hanging="360"/>
      </w:pPr>
      <w:rPr>
        <w:color w:val="FFFFFF" w:themeColor="background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B2F318F"/>
    <w:multiLevelType w:val="multilevel"/>
    <w:tmpl w:val="1624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866AE4"/>
    <w:multiLevelType w:val="hybridMultilevel"/>
    <w:tmpl w:val="337EF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546358"/>
    <w:multiLevelType w:val="hybridMultilevel"/>
    <w:tmpl w:val="F4E8F8F0"/>
    <w:lvl w:ilvl="0" w:tplc="2A740A7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51E5F02"/>
    <w:multiLevelType w:val="multilevel"/>
    <w:tmpl w:val="289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3F199A"/>
    <w:multiLevelType w:val="hybridMultilevel"/>
    <w:tmpl w:val="455C3EB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6DE6676"/>
    <w:multiLevelType w:val="hybridMultilevel"/>
    <w:tmpl w:val="919EFE36"/>
    <w:lvl w:ilvl="0" w:tplc="11A42554">
      <w:start w:val="4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C2572F1"/>
    <w:multiLevelType w:val="hybridMultilevel"/>
    <w:tmpl w:val="D16EE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F74441"/>
    <w:multiLevelType w:val="hybridMultilevel"/>
    <w:tmpl w:val="4CDACF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E426C4A"/>
    <w:multiLevelType w:val="multilevel"/>
    <w:tmpl w:val="535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9"/>
  </w:num>
  <w:num w:numId="3">
    <w:abstractNumId w:val="31"/>
  </w:num>
  <w:num w:numId="4">
    <w:abstractNumId w:val="34"/>
  </w:num>
  <w:num w:numId="5">
    <w:abstractNumId w:val="10"/>
  </w:num>
  <w:num w:numId="6">
    <w:abstractNumId w:val="19"/>
  </w:num>
  <w:num w:numId="7">
    <w:abstractNumId w:val="21"/>
  </w:num>
  <w:num w:numId="8">
    <w:abstractNumId w:val="24"/>
  </w:num>
  <w:num w:numId="9">
    <w:abstractNumId w:val="8"/>
  </w:num>
  <w:num w:numId="10">
    <w:abstractNumId w:val="2"/>
  </w:num>
  <w:num w:numId="11">
    <w:abstractNumId w:val="6"/>
  </w:num>
  <w:num w:numId="12">
    <w:abstractNumId w:val="22"/>
  </w:num>
  <w:num w:numId="13">
    <w:abstractNumId w:val="14"/>
  </w:num>
  <w:num w:numId="14">
    <w:abstractNumId w:val="16"/>
  </w:num>
  <w:num w:numId="15">
    <w:abstractNumId w:val="12"/>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33"/>
  </w:num>
  <w:num w:numId="19">
    <w:abstractNumId w:val="17"/>
  </w:num>
  <w:num w:numId="20">
    <w:abstractNumId w:val="35"/>
  </w:num>
  <w:num w:numId="21">
    <w:abstractNumId w:val="36"/>
  </w:num>
  <w:num w:numId="22">
    <w:abstractNumId w:val="9"/>
  </w:num>
  <w:num w:numId="23">
    <w:abstractNumId w:val="0"/>
  </w:num>
  <w:num w:numId="24">
    <w:abstractNumId w:val="1"/>
  </w:num>
  <w:num w:numId="25">
    <w:abstractNumId w:val="20"/>
  </w:num>
  <w:num w:numId="26">
    <w:abstractNumId w:val="5"/>
  </w:num>
  <w:num w:numId="27">
    <w:abstractNumId w:val="23"/>
  </w:num>
  <w:num w:numId="28">
    <w:abstractNumId w:val="30"/>
  </w:num>
  <w:num w:numId="29">
    <w:abstractNumId w:val="11"/>
  </w:num>
  <w:num w:numId="30">
    <w:abstractNumId w:val="7"/>
  </w:num>
  <w:num w:numId="31">
    <w:abstractNumId w:val="25"/>
    <w:lvlOverride w:ilvl="0">
      <w:startOverride w:val="1"/>
    </w:lvlOverride>
  </w:num>
  <w:num w:numId="32">
    <w:abstractNumId w:val="26"/>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37"/>
  </w:num>
  <w:num w:numId="36">
    <w:abstractNumId w:val="32"/>
  </w:num>
  <w:num w:numId="37">
    <w:abstractNumId w:val="3"/>
  </w:num>
  <w:num w:numId="38">
    <w:abstractNumId w:val="15"/>
  </w:num>
  <w:num w:numId="39">
    <w:abstractNumId w:val="4"/>
  </w:num>
  <w:num w:numId="40">
    <w:abstractNumId w:val="28"/>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5A"/>
    <w:rsid w:val="000A30FE"/>
    <w:rsid w:val="000D6032"/>
    <w:rsid w:val="000E3895"/>
    <w:rsid w:val="00171DE1"/>
    <w:rsid w:val="00177E4E"/>
    <w:rsid w:val="001D6E9D"/>
    <w:rsid w:val="00205F3A"/>
    <w:rsid w:val="00213F44"/>
    <w:rsid w:val="00226903"/>
    <w:rsid w:val="002510AD"/>
    <w:rsid w:val="00286240"/>
    <w:rsid w:val="002D6A3A"/>
    <w:rsid w:val="003E08B4"/>
    <w:rsid w:val="00400AE2"/>
    <w:rsid w:val="00476156"/>
    <w:rsid w:val="004775A3"/>
    <w:rsid w:val="004A6FD4"/>
    <w:rsid w:val="004E19FD"/>
    <w:rsid w:val="005015F1"/>
    <w:rsid w:val="00514385"/>
    <w:rsid w:val="00567EED"/>
    <w:rsid w:val="005A604A"/>
    <w:rsid w:val="005F06B8"/>
    <w:rsid w:val="00606374"/>
    <w:rsid w:val="00626EDF"/>
    <w:rsid w:val="00660E30"/>
    <w:rsid w:val="006D76B2"/>
    <w:rsid w:val="00790F40"/>
    <w:rsid w:val="007E3576"/>
    <w:rsid w:val="00863169"/>
    <w:rsid w:val="008D3B5A"/>
    <w:rsid w:val="009934AF"/>
    <w:rsid w:val="009E2CF7"/>
    <w:rsid w:val="00A12DB0"/>
    <w:rsid w:val="00A43F53"/>
    <w:rsid w:val="00A60C87"/>
    <w:rsid w:val="00A66E61"/>
    <w:rsid w:val="00AB1655"/>
    <w:rsid w:val="00AF393D"/>
    <w:rsid w:val="00B363C6"/>
    <w:rsid w:val="00BD4CCD"/>
    <w:rsid w:val="00C07986"/>
    <w:rsid w:val="00C1492F"/>
    <w:rsid w:val="00C80F03"/>
    <w:rsid w:val="00D71A0E"/>
    <w:rsid w:val="00DF1001"/>
    <w:rsid w:val="00E051B2"/>
    <w:rsid w:val="00E53A8E"/>
    <w:rsid w:val="00E5465A"/>
    <w:rsid w:val="00FA4AB3"/>
    <w:rsid w:val="00FD26CA"/>
    <w:rsid w:val="00FF6757"/>
    <w:rsid w:val="00FF6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728CF"/>
  <w15:chartTrackingRefBased/>
  <w15:docId w15:val="{503A998D-8DBE-49AC-88A1-08E9FEA2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B5A"/>
    <w:pPr>
      <w:spacing w:before="240" w:after="480" w:line="360" w:lineRule="auto"/>
    </w:pPr>
    <w:rPr>
      <w:rFonts w:ascii="Times New Roman" w:eastAsia="Calibri" w:hAnsi="Times New Roman" w:cs="Times New Roman"/>
      <w:bCs/>
      <w:sz w:val="24"/>
      <w:lang w:val="fr-CA"/>
    </w:rPr>
  </w:style>
  <w:style w:type="paragraph" w:styleId="Heading1">
    <w:name w:val="heading 1"/>
    <w:basedOn w:val="Normal"/>
    <w:next w:val="Normal"/>
    <w:link w:val="Heading1Char"/>
    <w:uiPriority w:val="9"/>
    <w:qFormat/>
    <w:rsid w:val="008D3B5A"/>
    <w:pPr>
      <w:outlineLvl w:val="0"/>
    </w:pPr>
    <w:rPr>
      <w:rFonts w:ascii="TimesNewRomanPS-BoldMT" w:eastAsiaTheme="minorHAnsi" w:hAnsi="TimesNewRomanPS-BoldMT" w:cs="TimesNewRomanPS-BoldMT"/>
      <w:b/>
      <w:sz w:val="44"/>
      <w:szCs w:val="44"/>
      <w:lang w:val="fr-FR"/>
    </w:rPr>
  </w:style>
  <w:style w:type="paragraph" w:styleId="Heading2">
    <w:name w:val="heading 2"/>
    <w:aliases w:val="Heading 2 sections"/>
    <w:basedOn w:val="ListParagraph"/>
    <w:next w:val="Normal"/>
    <w:link w:val="Heading2Char"/>
    <w:uiPriority w:val="9"/>
    <w:unhideWhenUsed/>
    <w:qFormat/>
    <w:rsid w:val="008D3B5A"/>
    <w:pPr>
      <w:numPr>
        <w:ilvl w:val="1"/>
        <w:numId w:val="32"/>
      </w:numPr>
      <w:outlineLvl w:val="1"/>
    </w:pPr>
    <w:rPr>
      <w:b/>
      <w:bCs w:val="0"/>
      <w:sz w:val="32"/>
      <w:szCs w:val="28"/>
    </w:rPr>
  </w:style>
  <w:style w:type="paragraph" w:styleId="Heading3">
    <w:name w:val="heading 3"/>
    <w:aliases w:val="CHAP"/>
    <w:basedOn w:val="Heading1"/>
    <w:next w:val="Normal"/>
    <w:link w:val="Heading3Char"/>
    <w:uiPriority w:val="9"/>
    <w:unhideWhenUsed/>
    <w:rsid w:val="008D3B5A"/>
    <w:pPr>
      <w:outlineLvl w:val="2"/>
    </w:pPr>
  </w:style>
  <w:style w:type="paragraph" w:styleId="Heading4">
    <w:name w:val="heading 4"/>
    <w:basedOn w:val="Normal"/>
    <w:next w:val="Normal"/>
    <w:link w:val="Heading4Char"/>
    <w:uiPriority w:val="9"/>
    <w:unhideWhenUsed/>
    <w:qFormat/>
    <w:rsid w:val="008D3B5A"/>
    <w:pPr>
      <w:numPr>
        <w:ilvl w:val="3"/>
        <w:numId w:val="32"/>
      </w:numPr>
      <w:outlineLvl w:val="3"/>
    </w:pPr>
    <w:rPr>
      <w:i/>
      <w:iCs/>
    </w:rPr>
  </w:style>
  <w:style w:type="paragraph" w:styleId="Heading5">
    <w:name w:val="heading 5"/>
    <w:basedOn w:val="Normal"/>
    <w:next w:val="Normal"/>
    <w:link w:val="Heading5Char"/>
    <w:uiPriority w:val="9"/>
    <w:unhideWhenUsed/>
    <w:qFormat/>
    <w:rsid w:val="008D3B5A"/>
    <w:pPr>
      <w:keepNext/>
      <w:keepLines/>
      <w:numPr>
        <w:ilvl w:val="4"/>
        <w:numId w:val="3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8D3B5A"/>
    <w:pPr>
      <w:numPr>
        <w:numId w:val="40"/>
      </w:numPr>
      <w:outlineLvl w:val="5"/>
    </w:pPr>
  </w:style>
  <w:style w:type="paragraph" w:styleId="Heading7">
    <w:name w:val="heading 7"/>
    <w:basedOn w:val="Normal"/>
    <w:next w:val="Normal"/>
    <w:link w:val="Heading7Char"/>
    <w:uiPriority w:val="9"/>
    <w:semiHidden/>
    <w:unhideWhenUsed/>
    <w:qFormat/>
    <w:rsid w:val="008D3B5A"/>
    <w:pPr>
      <w:keepNext/>
      <w:keepLines/>
      <w:numPr>
        <w:ilvl w:val="6"/>
        <w:numId w:val="3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3B5A"/>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3B5A"/>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B5A"/>
    <w:rPr>
      <w:rFonts w:ascii="TimesNewRomanPS-BoldMT" w:hAnsi="TimesNewRomanPS-BoldMT" w:cs="TimesNewRomanPS-BoldMT"/>
      <w:b/>
      <w:bCs/>
      <w:sz w:val="44"/>
      <w:szCs w:val="44"/>
      <w:lang w:val="fr-FR"/>
    </w:rPr>
  </w:style>
  <w:style w:type="character" w:customStyle="1" w:styleId="Heading2Char">
    <w:name w:val="Heading 2 Char"/>
    <w:aliases w:val="Heading 2 sections Char"/>
    <w:basedOn w:val="DefaultParagraphFont"/>
    <w:link w:val="Heading2"/>
    <w:uiPriority w:val="9"/>
    <w:rsid w:val="008D3B5A"/>
    <w:rPr>
      <w:rFonts w:ascii="Times New Roman" w:eastAsia="Calibri" w:hAnsi="Times New Roman" w:cs="Times New Roman"/>
      <w:b/>
      <w:sz w:val="32"/>
      <w:szCs w:val="28"/>
      <w:lang w:val="fr-CA"/>
    </w:rPr>
  </w:style>
  <w:style w:type="character" w:customStyle="1" w:styleId="Heading3Char">
    <w:name w:val="Heading 3 Char"/>
    <w:aliases w:val="CHAP Char"/>
    <w:basedOn w:val="DefaultParagraphFont"/>
    <w:link w:val="Heading3"/>
    <w:uiPriority w:val="9"/>
    <w:rsid w:val="008D3B5A"/>
    <w:rPr>
      <w:rFonts w:ascii="TimesNewRomanPS-BoldMT" w:hAnsi="TimesNewRomanPS-BoldMT" w:cs="TimesNewRomanPS-BoldMT"/>
      <w:b/>
      <w:bCs/>
      <w:sz w:val="44"/>
      <w:szCs w:val="44"/>
      <w:lang w:val="fr-FR"/>
    </w:rPr>
  </w:style>
  <w:style w:type="character" w:customStyle="1" w:styleId="Heading4Char">
    <w:name w:val="Heading 4 Char"/>
    <w:basedOn w:val="DefaultParagraphFont"/>
    <w:link w:val="Heading4"/>
    <w:uiPriority w:val="9"/>
    <w:rsid w:val="008D3B5A"/>
    <w:rPr>
      <w:rFonts w:ascii="Times New Roman" w:eastAsia="Calibri" w:hAnsi="Times New Roman" w:cs="Times New Roman"/>
      <w:bCs/>
      <w:i/>
      <w:iCs/>
      <w:sz w:val="24"/>
      <w:lang w:val="fr-CA"/>
    </w:rPr>
  </w:style>
  <w:style w:type="character" w:customStyle="1" w:styleId="Heading5Char">
    <w:name w:val="Heading 5 Char"/>
    <w:basedOn w:val="DefaultParagraphFont"/>
    <w:link w:val="Heading5"/>
    <w:uiPriority w:val="9"/>
    <w:rsid w:val="008D3B5A"/>
    <w:rPr>
      <w:rFonts w:asciiTheme="majorHAnsi" w:eastAsiaTheme="majorEastAsia" w:hAnsiTheme="majorHAnsi" w:cstheme="majorBidi"/>
      <w:bCs/>
      <w:color w:val="2F5496" w:themeColor="accent1" w:themeShade="BF"/>
      <w:sz w:val="24"/>
      <w:lang w:val="fr-CA"/>
    </w:rPr>
  </w:style>
  <w:style w:type="character" w:customStyle="1" w:styleId="Heading6Char">
    <w:name w:val="Heading 6 Char"/>
    <w:basedOn w:val="DefaultParagraphFont"/>
    <w:link w:val="Heading6"/>
    <w:uiPriority w:val="9"/>
    <w:rsid w:val="008D3B5A"/>
    <w:rPr>
      <w:rFonts w:ascii="TimesNewRomanPS-BoldMT" w:hAnsi="TimesNewRomanPS-BoldMT" w:cs="TimesNewRomanPS-BoldMT"/>
      <w:b/>
      <w:bCs/>
      <w:sz w:val="44"/>
      <w:szCs w:val="44"/>
      <w:lang w:val="fr-FR"/>
    </w:rPr>
  </w:style>
  <w:style w:type="character" w:customStyle="1" w:styleId="Heading7Char">
    <w:name w:val="Heading 7 Char"/>
    <w:basedOn w:val="DefaultParagraphFont"/>
    <w:link w:val="Heading7"/>
    <w:uiPriority w:val="9"/>
    <w:semiHidden/>
    <w:rsid w:val="008D3B5A"/>
    <w:rPr>
      <w:rFonts w:asciiTheme="majorHAnsi" w:eastAsiaTheme="majorEastAsia" w:hAnsiTheme="majorHAnsi" w:cstheme="majorBidi"/>
      <w:bCs/>
      <w:i/>
      <w:iCs/>
      <w:color w:val="1F3763" w:themeColor="accent1" w:themeShade="7F"/>
      <w:sz w:val="24"/>
      <w:lang w:val="fr-CA"/>
    </w:rPr>
  </w:style>
  <w:style w:type="character" w:customStyle="1" w:styleId="Heading8Char">
    <w:name w:val="Heading 8 Char"/>
    <w:basedOn w:val="DefaultParagraphFont"/>
    <w:link w:val="Heading8"/>
    <w:uiPriority w:val="9"/>
    <w:semiHidden/>
    <w:rsid w:val="008D3B5A"/>
    <w:rPr>
      <w:rFonts w:asciiTheme="majorHAnsi" w:eastAsiaTheme="majorEastAsia" w:hAnsiTheme="majorHAnsi" w:cstheme="majorBidi"/>
      <w:bCs/>
      <w:color w:val="272727" w:themeColor="text1" w:themeTint="D8"/>
      <w:sz w:val="21"/>
      <w:szCs w:val="21"/>
      <w:lang w:val="fr-CA"/>
    </w:rPr>
  </w:style>
  <w:style w:type="character" w:customStyle="1" w:styleId="Heading9Char">
    <w:name w:val="Heading 9 Char"/>
    <w:basedOn w:val="DefaultParagraphFont"/>
    <w:link w:val="Heading9"/>
    <w:uiPriority w:val="9"/>
    <w:semiHidden/>
    <w:rsid w:val="008D3B5A"/>
    <w:rPr>
      <w:rFonts w:asciiTheme="majorHAnsi" w:eastAsiaTheme="majorEastAsia" w:hAnsiTheme="majorHAnsi" w:cstheme="majorBidi"/>
      <w:bCs/>
      <w:i/>
      <w:iCs/>
      <w:color w:val="272727" w:themeColor="text1" w:themeTint="D8"/>
      <w:sz w:val="21"/>
      <w:szCs w:val="21"/>
      <w:lang w:val="fr-CA"/>
    </w:rPr>
  </w:style>
  <w:style w:type="paragraph" w:styleId="ListParagraph">
    <w:name w:val="List Paragraph"/>
    <w:basedOn w:val="Normal"/>
    <w:uiPriority w:val="34"/>
    <w:qFormat/>
    <w:rsid w:val="008D3B5A"/>
    <w:pPr>
      <w:ind w:left="720"/>
      <w:contextualSpacing/>
    </w:pPr>
  </w:style>
  <w:style w:type="paragraph" w:styleId="Header">
    <w:name w:val="header"/>
    <w:basedOn w:val="Normal"/>
    <w:link w:val="HeaderChar"/>
    <w:uiPriority w:val="99"/>
    <w:unhideWhenUsed/>
    <w:rsid w:val="008D3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B5A"/>
    <w:rPr>
      <w:rFonts w:ascii="Times New Roman" w:eastAsia="Calibri" w:hAnsi="Times New Roman" w:cs="Times New Roman"/>
      <w:bCs/>
      <w:sz w:val="24"/>
      <w:lang w:val="fr-CA"/>
    </w:rPr>
  </w:style>
  <w:style w:type="paragraph" w:styleId="Footer">
    <w:name w:val="footer"/>
    <w:basedOn w:val="Normal"/>
    <w:link w:val="FooterChar"/>
    <w:uiPriority w:val="99"/>
    <w:unhideWhenUsed/>
    <w:rsid w:val="008D3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B5A"/>
    <w:rPr>
      <w:rFonts w:ascii="Times New Roman" w:eastAsia="Calibri" w:hAnsi="Times New Roman" w:cs="Times New Roman"/>
      <w:bCs/>
      <w:sz w:val="24"/>
      <w:lang w:val="fr-CA"/>
    </w:rPr>
  </w:style>
  <w:style w:type="character" w:styleId="LineNumber">
    <w:name w:val="line number"/>
    <w:basedOn w:val="DefaultParagraphFont"/>
    <w:uiPriority w:val="99"/>
    <w:semiHidden/>
    <w:unhideWhenUsed/>
    <w:rsid w:val="008D3B5A"/>
  </w:style>
  <w:style w:type="paragraph" w:styleId="BalloonText">
    <w:name w:val="Balloon Text"/>
    <w:basedOn w:val="Normal"/>
    <w:link w:val="BalloonTextChar"/>
    <w:uiPriority w:val="99"/>
    <w:semiHidden/>
    <w:unhideWhenUsed/>
    <w:rsid w:val="008D3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B5A"/>
    <w:rPr>
      <w:rFonts w:ascii="Segoe UI" w:eastAsia="Calibri" w:hAnsi="Segoe UI" w:cs="Segoe UI"/>
      <w:bCs/>
      <w:sz w:val="18"/>
      <w:szCs w:val="18"/>
      <w:lang w:val="fr-CA"/>
    </w:rPr>
  </w:style>
  <w:style w:type="character" w:styleId="CommentReference">
    <w:name w:val="annotation reference"/>
    <w:basedOn w:val="DefaultParagraphFont"/>
    <w:uiPriority w:val="99"/>
    <w:semiHidden/>
    <w:unhideWhenUsed/>
    <w:rsid w:val="008D3B5A"/>
    <w:rPr>
      <w:sz w:val="16"/>
      <w:szCs w:val="16"/>
    </w:rPr>
  </w:style>
  <w:style w:type="paragraph" w:styleId="CommentText">
    <w:name w:val="annotation text"/>
    <w:basedOn w:val="Normal"/>
    <w:link w:val="CommentTextChar"/>
    <w:uiPriority w:val="99"/>
    <w:unhideWhenUsed/>
    <w:rsid w:val="008D3B5A"/>
    <w:pPr>
      <w:spacing w:line="240" w:lineRule="auto"/>
    </w:pPr>
    <w:rPr>
      <w:sz w:val="20"/>
      <w:szCs w:val="20"/>
    </w:rPr>
  </w:style>
  <w:style w:type="character" w:customStyle="1" w:styleId="CommentTextChar">
    <w:name w:val="Comment Text Char"/>
    <w:basedOn w:val="DefaultParagraphFont"/>
    <w:link w:val="CommentText"/>
    <w:uiPriority w:val="99"/>
    <w:rsid w:val="008D3B5A"/>
    <w:rPr>
      <w:rFonts w:ascii="Times New Roman" w:eastAsia="Calibri" w:hAnsi="Times New Roman" w:cs="Times New Roman"/>
      <w:bCs/>
      <w:sz w:val="20"/>
      <w:szCs w:val="20"/>
      <w:lang w:val="fr-CA"/>
    </w:rPr>
  </w:style>
  <w:style w:type="paragraph" w:styleId="CommentSubject">
    <w:name w:val="annotation subject"/>
    <w:basedOn w:val="CommentText"/>
    <w:next w:val="CommentText"/>
    <w:link w:val="CommentSubjectChar"/>
    <w:uiPriority w:val="99"/>
    <w:semiHidden/>
    <w:unhideWhenUsed/>
    <w:rsid w:val="008D3B5A"/>
    <w:rPr>
      <w:b/>
      <w:bCs w:val="0"/>
    </w:rPr>
  </w:style>
  <w:style w:type="character" w:customStyle="1" w:styleId="CommentSubjectChar">
    <w:name w:val="Comment Subject Char"/>
    <w:basedOn w:val="CommentTextChar"/>
    <w:link w:val="CommentSubject"/>
    <w:uiPriority w:val="99"/>
    <w:semiHidden/>
    <w:rsid w:val="008D3B5A"/>
    <w:rPr>
      <w:rFonts w:ascii="Times New Roman" w:eastAsia="Calibri" w:hAnsi="Times New Roman" w:cs="Times New Roman"/>
      <w:b/>
      <w:bCs w:val="0"/>
      <w:sz w:val="20"/>
      <w:szCs w:val="20"/>
      <w:lang w:val="fr-CA"/>
    </w:rPr>
  </w:style>
  <w:style w:type="paragraph" w:styleId="NormalWeb">
    <w:name w:val="Normal (Web)"/>
    <w:basedOn w:val="Normal"/>
    <w:uiPriority w:val="99"/>
    <w:unhideWhenUsed/>
    <w:rsid w:val="008D3B5A"/>
    <w:pPr>
      <w:spacing w:before="100" w:beforeAutospacing="1" w:after="100" w:afterAutospacing="1" w:line="240" w:lineRule="auto"/>
    </w:pPr>
    <w:rPr>
      <w:rFonts w:eastAsia="Times New Roman"/>
      <w:szCs w:val="24"/>
      <w:lang w:val="en-GB" w:eastAsia="en-GB"/>
    </w:rPr>
  </w:style>
  <w:style w:type="table" w:styleId="TableGrid">
    <w:name w:val="Table Grid"/>
    <w:basedOn w:val="TableNormal"/>
    <w:uiPriority w:val="39"/>
    <w:rsid w:val="008D3B5A"/>
    <w:pPr>
      <w:spacing w:before="240"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3B5A"/>
    <w:rPr>
      <w:color w:val="0563C1" w:themeColor="hyperlink"/>
      <w:u w:val="single"/>
    </w:rPr>
  </w:style>
  <w:style w:type="character" w:customStyle="1" w:styleId="UnresolvedMention1">
    <w:name w:val="Unresolved Mention1"/>
    <w:basedOn w:val="DefaultParagraphFont"/>
    <w:uiPriority w:val="99"/>
    <w:semiHidden/>
    <w:unhideWhenUsed/>
    <w:rsid w:val="008D3B5A"/>
    <w:rPr>
      <w:color w:val="808080"/>
      <w:shd w:val="clear" w:color="auto" w:fill="E6E6E6"/>
    </w:rPr>
  </w:style>
  <w:style w:type="paragraph" w:styleId="Revision">
    <w:name w:val="Revision"/>
    <w:hidden/>
    <w:uiPriority w:val="99"/>
    <w:semiHidden/>
    <w:rsid w:val="008D3B5A"/>
    <w:pPr>
      <w:spacing w:before="240" w:after="0" w:line="240" w:lineRule="auto"/>
    </w:pPr>
    <w:rPr>
      <w:rFonts w:ascii="Times New Roman" w:hAnsi="Times New Roman"/>
      <w:sz w:val="24"/>
      <w:lang w:val="en-CA"/>
    </w:rPr>
  </w:style>
  <w:style w:type="character" w:customStyle="1" w:styleId="InternetLink">
    <w:name w:val="Internet Link"/>
    <w:basedOn w:val="DefaultParagraphFont"/>
    <w:uiPriority w:val="99"/>
    <w:unhideWhenUsed/>
    <w:rsid w:val="008D3B5A"/>
    <w:rPr>
      <w:color w:val="0563C1"/>
      <w:u w:val="single"/>
    </w:rPr>
  </w:style>
  <w:style w:type="character" w:styleId="FollowedHyperlink">
    <w:name w:val="FollowedHyperlink"/>
    <w:basedOn w:val="DefaultParagraphFont"/>
    <w:uiPriority w:val="99"/>
    <w:semiHidden/>
    <w:unhideWhenUsed/>
    <w:rsid w:val="008D3B5A"/>
    <w:rPr>
      <w:color w:val="954F72" w:themeColor="followedHyperlink"/>
      <w:u w:val="single"/>
    </w:rPr>
  </w:style>
  <w:style w:type="character" w:styleId="PlaceholderText">
    <w:name w:val="Placeholder Text"/>
    <w:basedOn w:val="DefaultParagraphFont"/>
    <w:uiPriority w:val="99"/>
    <w:semiHidden/>
    <w:rsid w:val="008D3B5A"/>
    <w:rPr>
      <w:color w:val="808080"/>
    </w:rPr>
  </w:style>
  <w:style w:type="character" w:styleId="Strong">
    <w:name w:val="Strong"/>
    <w:aliases w:val="Fig"/>
    <w:uiPriority w:val="22"/>
    <w:qFormat/>
    <w:rsid w:val="008D3B5A"/>
  </w:style>
  <w:style w:type="paragraph" w:customStyle="1" w:styleId="FrameContents">
    <w:name w:val="Frame Contents"/>
    <w:basedOn w:val="Normal"/>
    <w:qFormat/>
    <w:rsid w:val="008D3B5A"/>
    <w:pPr>
      <w:spacing w:after="0" w:line="480" w:lineRule="auto"/>
    </w:pPr>
    <w:rPr>
      <w:color w:val="00000A"/>
      <w:szCs w:val="24"/>
      <w:lang w:val="en-CA"/>
    </w:rPr>
  </w:style>
  <w:style w:type="paragraph" w:styleId="HTMLPreformatted">
    <w:name w:val="HTML Preformatted"/>
    <w:basedOn w:val="Normal"/>
    <w:link w:val="HTMLPreformattedChar"/>
    <w:uiPriority w:val="99"/>
    <w:unhideWhenUsed/>
    <w:rsid w:val="008D3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B5A"/>
    <w:rPr>
      <w:rFonts w:ascii="Courier New" w:eastAsia="Times New Roman" w:hAnsi="Courier New" w:cs="Courier New"/>
      <w:bCs/>
      <w:sz w:val="20"/>
      <w:szCs w:val="20"/>
      <w:lang w:val="fr-CA"/>
    </w:rPr>
  </w:style>
  <w:style w:type="character" w:customStyle="1" w:styleId="gd15mcfceub">
    <w:name w:val="gd15mcfceub"/>
    <w:basedOn w:val="DefaultParagraphFont"/>
    <w:rsid w:val="008D3B5A"/>
  </w:style>
  <w:style w:type="paragraph" w:customStyle="1" w:styleId="msonormal0">
    <w:name w:val="msonormal"/>
    <w:basedOn w:val="Normal"/>
    <w:rsid w:val="008D3B5A"/>
    <w:pPr>
      <w:spacing w:before="100" w:beforeAutospacing="1" w:after="100" w:afterAutospacing="1" w:line="240" w:lineRule="auto"/>
    </w:pPr>
    <w:rPr>
      <w:rFonts w:eastAsia="Times New Roman"/>
      <w:szCs w:val="24"/>
    </w:rPr>
  </w:style>
  <w:style w:type="paragraph" w:customStyle="1" w:styleId="xl65">
    <w:name w:val="xl65"/>
    <w:basedOn w:val="Normal"/>
    <w:rsid w:val="008D3B5A"/>
    <w:pPr>
      <w:spacing w:before="100" w:beforeAutospacing="1" w:after="100" w:afterAutospacing="1" w:line="240" w:lineRule="auto"/>
    </w:pPr>
    <w:rPr>
      <w:rFonts w:eastAsia="Times New Roman"/>
      <w:b/>
      <w:bCs w:val="0"/>
      <w:szCs w:val="24"/>
    </w:rPr>
  </w:style>
  <w:style w:type="paragraph" w:customStyle="1" w:styleId="xl66">
    <w:name w:val="xl66"/>
    <w:basedOn w:val="Normal"/>
    <w:rsid w:val="008D3B5A"/>
    <w:pPr>
      <w:spacing w:before="100" w:beforeAutospacing="1" w:after="100" w:afterAutospacing="1" w:line="240" w:lineRule="auto"/>
      <w:jc w:val="center"/>
    </w:pPr>
    <w:rPr>
      <w:rFonts w:eastAsia="Times New Roman"/>
      <w:sz w:val="20"/>
      <w:szCs w:val="20"/>
    </w:rPr>
  </w:style>
  <w:style w:type="paragraph" w:customStyle="1" w:styleId="xl67">
    <w:name w:val="xl67"/>
    <w:basedOn w:val="Normal"/>
    <w:rsid w:val="008D3B5A"/>
    <w:pPr>
      <w:spacing w:before="100" w:beforeAutospacing="1" w:after="100" w:afterAutospacing="1" w:line="240" w:lineRule="auto"/>
      <w:jc w:val="center"/>
    </w:pPr>
    <w:rPr>
      <w:rFonts w:eastAsia="Times New Roman"/>
      <w:b/>
      <w:bCs w:val="0"/>
      <w:sz w:val="20"/>
      <w:szCs w:val="20"/>
    </w:rPr>
  </w:style>
  <w:style w:type="paragraph" w:customStyle="1" w:styleId="xl68">
    <w:name w:val="xl68"/>
    <w:basedOn w:val="Normal"/>
    <w:rsid w:val="008D3B5A"/>
    <w:pPr>
      <w:spacing w:before="100" w:beforeAutospacing="1" w:after="100" w:afterAutospacing="1" w:line="240" w:lineRule="auto"/>
    </w:pPr>
    <w:rPr>
      <w:rFonts w:eastAsia="Times New Roman"/>
      <w:b/>
      <w:bCs w:val="0"/>
      <w:szCs w:val="24"/>
    </w:rPr>
  </w:style>
  <w:style w:type="paragraph" w:customStyle="1" w:styleId="xl69">
    <w:name w:val="xl69"/>
    <w:basedOn w:val="Normal"/>
    <w:rsid w:val="008D3B5A"/>
    <w:pPr>
      <w:spacing w:before="100" w:beforeAutospacing="1" w:after="100" w:afterAutospacing="1" w:line="240" w:lineRule="auto"/>
      <w:jc w:val="center"/>
    </w:pPr>
    <w:rPr>
      <w:rFonts w:eastAsia="Times New Roman"/>
      <w:b/>
      <w:bCs w:val="0"/>
      <w:sz w:val="16"/>
      <w:szCs w:val="16"/>
    </w:rPr>
  </w:style>
  <w:style w:type="paragraph" w:customStyle="1" w:styleId="xl70">
    <w:name w:val="xl70"/>
    <w:basedOn w:val="Normal"/>
    <w:rsid w:val="008D3B5A"/>
    <w:pPr>
      <w:spacing w:before="100" w:beforeAutospacing="1" w:after="100" w:afterAutospacing="1" w:line="240" w:lineRule="auto"/>
    </w:pPr>
    <w:rPr>
      <w:rFonts w:eastAsia="Times New Roman"/>
      <w:b/>
      <w:bCs w:val="0"/>
      <w:sz w:val="16"/>
      <w:szCs w:val="16"/>
    </w:rPr>
  </w:style>
  <w:style w:type="paragraph" w:customStyle="1" w:styleId="xl71">
    <w:name w:val="xl71"/>
    <w:basedOn w:val="Normal"/>
    <w:rsid w:val="008D3B5A"/>
    <w:pPr>
      <w:spacing w:before="100" w:beforeAutospacing="1" w:after="100" w:afterAutospacing="1" w:line="240" w:lineRule="auto"/>
      <w:jc w:val="center"/>
    </w:pPr>
    <w:rPr>
      <w:rFonts w:eastAsia="Times New Roman"/>
      <w:sz w:val="18"/>
      <w:szCs w:val="18"/>
    </w:rPr>
  </w:style>
  <w:style w:type="paragraph" w:styleId="TOCHeading">
    <w:name w:val="TOC Heading"/>
    <w:basedOn w:val="Heading1"/>
    <w:next w:val="Normal"/>
    <w:uiPriority w:val="39"/>
    <w:unhideWhenUsed/>
    <w:qFormat/>
    <w:rsid w:val="008D3B5A"/>
    <w:pPr>
      <w:keepNext/>
      <w:keepLines/>
      <w:spacing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D3B5A"/>
    <w:pPr>
      <w:spacing w:after="100"/>
    </w:pPr>
  </w:style>
  <w:style w:type="paragraph" w:styleId="TOC2">
    <w:name w:val="toc 2"/>
    <w:basedOn w:val="Normal"/>
    <w:next w:val="Normal"/>
    <w:autoRedefine/>
    <w:uiPriority w:val="39"/>
    <w:unhideWhenUsed/>
    <w:rsid w:val="008D3B5A"/>
    <w:pPr>
      <w:spacing w:after="100"/>
      <w:ind w:left="240"/>
    </w:pPr>
  </w:style>
  <w:style w:type="paragraph" w:styleId="Caption">
    <w:name w:val="caption"/>
    <w:basedOn w:val="Normal"/>
    <w:next w:val="Normal"/>
    <w:uiPriority w:val="35"/>
    <w:unhideWhenUsed/>
    <w:qFormat/>
    <w:rsid w:val="008D3B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D3B5A"/>
    <w:pPr>
      <w:spacing w:after="0"/>
    </w:pPr>
  </w:style>
  <w:style w:type="paragraph" w:styleId="TOC3">
    <w:name w:val="toc 3"/>
    <w:basedOn w:val="Normal"/>
    <w:next w:val="Normal"/>
    <w:autoRedefine/>
    <w:uiPriority w:val="39"/>
    <w:unhideWhenUsed/>
    <w:rsid w:val="008D3B5A"/>
    <w:pPr>
      <w:spacing w:after="100"/>
      <w:ind w:left="480"/>
    </w:pPr>
  </w:style>
  <w:style w:type="paragraph" w:styleId="TOC4">
    <w:name w:val="toc 4"/>
    <w:basedOn w:val="Normal"/>
    <w:next w:val="Normal"/>
    <w:autoRedefine/>
    <w:uiPriority w:val="39"/>
    <w:unhideWhenUsed/>
    <w:rsid w:val="008D3B5A"/>
    <w:pPr>
      <w:spacing w:after="100"/>
      <w:ind w:left="720"/>
    </w:pPr>
  </w:style>
  <w:style w:type="table" w:customStyle="1" w:styleId="TableGrid1">
    <w:name w:val="Table Grid1"/>
    <w:basedOn w:val="TableNormal"/>
    <w:next w:val="TableGrid"/>
    <w:uiPriority w:val="39"/>
    <w:rsid w:val="008D3B5A"/>
    <w:pPr>
      <w:spacing w:after="0" w:line="240" w:lineRule="auto"/>
    </w:pPr>
    <w:rPr>
      <w:rFonts w:ascii="Calibri" w:eastAsia="Calibri" w:hAnsi="Calibri" w:cs="Times New Roman"/>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D3B5A"/>
    <w:pPr>
      <w:spacing w:after="0" w:line="240" w:lineRule="auto"/>
    </w:pPr>
    <w:rPr>
      <w:rFonts w:ascii="Calibri" w:eastAsia="Calibri" w:hAnsi="Calibri" w:cs="Times New Roman"/>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3B5A"/>
    <w:rPr>
      <w:color w:val="605E5C"/>
      <w:shd w:val="clear" w:color="auto" w:fill="E1DFDD"/>
    </w:rPr>
  </w:style>
  <w:style w:type="table" w:customStyle="1" w:styleId="TableGrid3">
    <w:name w:val="Table Grid3"/>
    <w:basedOn w:val="TableNormal"/>
    <w:next w:val="TableGrid"/>
    <w:uiPriority w:val="39"/>
    <w:rsid w:val="008D3B5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8D3B5A"/>
    <w:rPr>
      <w:b/>
      <w:bCs/>
      <w:smallCaps/>
      <w:color w:val="4472C4" w:themeColor="accent1"/>
      <w:spacing w:val="5"/>
    </w:rPr>
  </w:style>
  <w:style w:type="table" w:customStyle="1" w:styleId="TableGrid31">
    <w:name w:val="Table Grid31"/>
    <w:basedOn w:val="TableNormal"/>
    <w:next w:val="TableGrid"/>
    <w:uiPriority w:val="39"/>
    <w:rsid w:val="00790F4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10AD"/>
    <w:pPr>
      <w:spacing w:after="0" w:line="240" w:lineRule="auto"/>
    </w:pPr>
    <w:rPr>
      <w:rFonts w:ascii="Times New Roman" w:eastAsia="Calibri" w:hAnsi="Times New Roman" w:cs="Times New Roman"/>
      <w:bCs/>
      <w:sz w:val="24"/>
      <w:lang w:val="fr-CA"/>
    </w:rPr>
  </w:style>
  <w:style w:type="table" w:customStyle="1" w:styleId="TableGrid32">
    <w:name w:val="Table Grid32"/>
    <w:basedOn w:val="TableNormal"/>
    <w:next w:val="TableGrid"/>
    <w:uiPriority w:val="39"/>
    <w:rsid w:val="004E19F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ttische@gmail.com" TargetMode="Externa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mputecanada.c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5870-2FF1-42A4-83AA-A2173063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45</Pages>
  <Words>66180</Words>
  <Characters>367305</Characters>
  <Application>Microsoft Office Word</Application>
  <DocSecurity>0</DocSecurity>
  <Lines>7346</Lines>
  <Paragraphs>3074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19</cp:revision>
  <dcterms:created xsi:type="dcterms:W3CDTF">2021-09-29T14:48:00Z</dcterms:created>
  <dcterms:modified xsi:type="dcterms:W3CDTF">2021-09-29T15:19:00Z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441c624b-6731-3071-a03e-c2bcec96f8d7</vt:lpwstr>
  </property>
  <property fmtid="{D5CDD505-2E9C-101B-9397-08002B2CF9AE}" pid="4" name="Mendeley Citation Style_1">
    <vt:lpwstr>http://www.zotero.org/styles/annual-review-of-ecology-evolution-and-systematics</vt:lpwstr>
  </property>
</Properties>
</file>