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6F" w:rsidRDefault="00F81D6F" w:rsidP="00F81D6F">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rPr>
        <w:t xml:space="preserve">Global change, including climate change as well as habitat destruction and fragmentation, have caused biodiversity to quickly decline in many parts of the world in the last century </w:t>
      </w:r>
      <w:r w:rsidRPr="004C4000">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Declines","type":"article-journal","volume":"328"},"uris":["http://www.mendeley.com/documents/?uuid=2c8b976f-8513-499b-857a-8c9d4fbc66c7"]}],"mendeley":{"formattedCitation":"(Butchart et al., 2010; Dirzo et al., 2014; Fischer &amp; Lindenmayer, 2007)","plainTextFormattedCitation":"(Butchart et al., 2010; Dirzo et al., 2014; Fischer &amp; Lindenmayer, 2007)","previouslyFormattedCitation":"(Butchart et al., 2010; Dirzo et al., 2014; Fischer &amp; Lindenmayer, 2007)"},"properties":{"noteIndex":0},"schema":"https://github.com/citation-style-language/schema/raw/master/csl-citation.json"}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5D6EA5">
        <w:rPr>
          <w:rFonts w:ascii="Times New Roman" w:eastAsia="Times New Roman" w:hAnsi="Times New Roman" w:cs="Times New Roman"/>
          <w:noProof/>
          <w:sz w:val="24"/>
          <w:szCs w:val="24"/>
        </w:rPr>
        <w:t>(Butchart et al., 2010; Dirzo et al., 2014; Fischer &amp; Lindenmayer, 2007)</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t xml:space="preserve">The future of biodiversity could be bleak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{"citationItems":[{"id":"ITEM-1","itemData":{"DOI":"10.1111/j.1461-0248.2011.01736.x","ISBN":"0471142905","ISSN":"1461-0248","PMID":"22257223","abstract":"Many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biodiversity.","type":"article-journal","volume":"15"},"uris":["http://www.mendeley.com/documents/?uuid=da622bb3-4c0a-4590-a7e4-9a796740a501"]}],"mendeley":{"formattedCitation":"(Bellard,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(Bellard, Bertelsmeier, Leadley, Thuiller, &amp; Courchamp, 2012)</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and thus there is an ever-increasing demand from ecosystem managers to evaluate and mitigate biodiversity loss, and to assess current and proposed management plans</w:t>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(Brondizio, Settele, Díaz, &amp; Ngo,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Global change trends in biodiversity and ecosystem functioning, and associated </w:t>
      </w:r>
      <w:r>
        <w:rPr>
          <w:rFonts w:ascii="Times New Roman" w:eastAsia="Times New Roman" w:hAnsi="Times New Roman" w:cs="Times New Roman"/>
          <w:sz w:val="24"/>
          <w:szCs w:val="24"/>
        </w:rPr>
        <w:t xml:space="preserve">temporal </w:t>
      </w:r>
      <w:r w:rsidRPr="004C4000">
        <w:rPr>
          <w:rFonts w:ascii="Times New Roman" w:eastAsia="Times New Roman" w:hAnsi="Times New Roman" w:cs="Times New Roman"/>
          <w:sz w:val="24"/>
          <w:szCs w:val="24"/>
        </w:rPr>
        <w:t>uncertainty</w:t>
      </w:r>
      <w:r>
        <w:rPr>
          <w:rFonts w:ascii="Times New Roman" w:eastAsia="Times New Roman" w:hAnsi="Times New Roman" w:cs="Times New Roman"/>
          <w:sz w:val="24"/>
          <w:szCs w:val="24"/>
        </w:rPr>
        <w:t xml:space="preserve"> and spatial bias</w:t>
      </w:r>
      <w:r w:rsidRPr="004C4000">
        <w:rPr>
          <w:rFonts w:ascii="Times New Roman" w:eastAsia="Times New Roman" w:hAnsi="Times New Roman" w:cs="Times New Roman"/>
          <w:sz w:val="24"/>
          <w:szCs w:val="24"/>
        </w:rPr>
        <w:t xml:space="preserve">, have been closely monitored </w:t>
      </w:r>
      <w:r w:rsidRPr="004C4000">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{"citationItems":[{"id":"ITEM-1","itemData":{"author":[{"dropping-particle":"","family":"Scholes","given":"Author R J","non-dropping-particle":"","parse-names":false,"suffix":""},{"dropping-particle":"","family":"Mace","given":"G M","non-dropping-particle":"","parse-names":false,"suffix":""},{"dropping-particle":"","family":"Turner","given":"W","non-dropping-particle":"","parse-names":false,"suffix":""},{"dropping-particle":"","family":"Geller","given":"G N","non-dropping-particle":"","parse-names":false,"suffix":""},{"dropping-particle":"","family":"Jürgens","given":"N","non-dropping-particle":"","parse-names":false,"suffix":""},{"dropping-particle":"","family":"Larigauderie","given":"A","non-dropping-particle":"","parse-names":false,"suffix":""},{"dropping-particle":"","family":"Muchoney","given":"D","non-dropping-particle":"","parse-names":false,"suffix":""},{"dropping-particle":"","family":"Walther","given":"B A","non-dropping-particle":"","parse-names":false,"suffix":""},{"dropping-particle":"","family":"Mooney","given":"H A","non-dropping-particle":"","parse-names":false,"suffix":""}],"id":"ITEM-1","issue":"5892","issued":{"date-parts":[["2008"]]},"page":"1044-1045","title":"Toward a Global Biodiversity","type":"article-journal","volume":"321"},"uris":["http://www.mendeley.com/documents/?uuid=53a9e777-4c1d-4204-8eb5-cf5437fd87c5"]},{"id":"ITEM-2","itemData":{"DOI":"10.1126/science.287.5459.1770","ISSN":"00368075","author":[{"dropping-particle":"","family":"Sala","given":"Osvaldo E.","non-dropping-particle":"","parse-names":false,"suffix":""},{"dropping-particle":"","family":"Huber-Sanwald","given":"Elisabeth","non-dropping-particle":"","parse-names":false,"suffix":""},{"dropping-particle":"","family":"Mooney","given":"Harold A.","non-dropping-particle":"","parse-names":false,"suffix":""},{"dropping-particle":"","family":"III","given":"Stuart Chapin","non-dropping-particle":"","parse-names":false,"suffix":""},{"dropping-particle":"","family":"Laura F. Huenneke","given":"´n Oesterheld","non-dropping-particle":"","parse-names":false,"suffix":""},{"dropping-particle":"","family":"Juan J. Armesto","given":"N. LeRoy Poff","non-dropping-particle":"","parse-names":false,"suffix":""},{"dropping-particle":"","family":"Berlow","given":"Eric","non-dropping-particle":"","parse-names":false,"suffix":""},{"dropping-particle":"","family":"Jackson","given":"Robert B.","non-dropping-particle":"","parse-names":false,"suffix":""},{"dropping-particle":"","family":"Wall","given":"Diana H.","non-dropping-particle":"","parse-names":false,"suffix":""},{"dropping-particle":"","family":"Ann Kinzig","given":"Martin T. Sykes","non-dropping-particle":"","parse-names":false,"suffix":""},{"dropping-particle":"","family":"Janine Bloomfield","given":"Brian H. Walker","non-dropping-particle":"","parse-names":false,"suffix":""},{"dropping-particle":"","family":"Rodolfo Dirzo","given":"Rik Leemans","non-dropping-particle":"","parse-names":false,"suffix":""},{"dropping-particle":"","family":"David M. Lodge","given":"Marilyn Walker","non-dropping-particle":"","parse-names":false,"suffix":""}],"container-title":"Science","id":"ITEM-2","issue":"5459","issued":{"date-parts":[["2000"]]},"page":"1770-1774","title":"Global Biodiversity Scenarios for the Year 2100","type":"article-journal","volume":"287"},"uris":["http://www.mendeley.com/documents/?uuid=708e9f5b-0757-44ba-bbf5-99909af9e0a2"]},{"id":"ITEM-3","itemData":{"DOI":"10.1126/science.1196624","ISSN":"0036-8075","abstract":"Quantitative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-3","issue":"6010","issued":{"date-parts":[["2010"]]},"page":"1496-1501","title":"Scenarios for Global Biodiversity in the 21st Century","type":"article-journal","volume":"330"},"uris":["http://www.mendeley.com/documents/?uuid=9efbeed3-b383-49ce-9c49-eb80034c0864"]},{"id":"ITEM-4","itemData":{"author":[{"dropping-particle":"","family":"Gonzalez","given":"Andrew","non-dropping-particle":"","parse-names":false,"suffix":""},{"dropping-particle":"","family":"Cardinale","given":"Bradley J.","non-dropping-particle":"","parse-names":false,"suffix":""},{"dropping-particle":"","family":"Allington","given":"Ginger R. H.","non-dropping-particle":"","parse-names":false,"suffix":""},{"dropping-particle":"","family":"Byrnes","given":"Jarrett","non-dropping-particle":"","parse-names":false,"suffix":""},{"dropping-particle":"","family":"Endsley","given":"K</w:instrText>
      </w:r>
      <w:r w:rsidRPr="00E21228">
        <w:rPr>
          <w:rFonts w:ascii="Times New Roman" w:eastAsia="Times New Roman" w:hAnsi="Times New Roman" w:cs="Times New Roman"/>
          <w:sz w:val="24"/>
          <w:szCs w:val="24"/>
          <w:lang w:val="fr-CA"/>
        </w:rPr>
        <w:instrText>. Arthur","non-dropping-particle":"","parse-names":false,"suffix":""},{"dropping-particle":"","family":"Brown","given":"Daniel G.","non-dropping-particle":"","parse-names":false,"suffix":""},{"dropping-particle":"","family":"Hooper","given":"David U.","non-dropping-particle":"","parse-names":false,"suffix":""},{"dropping-particle":"","family":"Isbell","given":"Forest","non-dropping-particle":"","parse-names":false,"suffix":""},{"dropping-particle":"","family":"O’Connor","given":"Mary I.","non-dropping-particle":"","parse-names":false,"suffix":""},{"dropping-particle":"","family":"LoreAu","given":"Michel","non-dropping-particle":"","parse-names":false,"suffix":""}],"container-title":"Ecology","id":"ITEM-4","issue":"8","issued":{"date-parts":[["2016"]]},"page":"1949-1960","title":"Estimating local biodiversity change : a critique of papers claiming no net loss of local diversity","type":"article-journal","volume":"97"},"uris":["http://www.mendeley.com/documents/?uuid=5c851aaf-e8b1-445a-bc25-20504472b884"]}],"mendeley":{"formattedCitation":"(Gonzalez et al., 2016; Pereira et al., 2010; Sala et al., 2000; Scholes et al., 2008)","plainTextFormattedCitation":"(Gonzalez et al., 2016; Pereira et al., 2010; Sala et al., 2000; Scholes et al., 2008)","previouslyFormattedCitation":"(Gonzalez et al., 2016; Pereira et al., 2010; Sala et al., 2000; Scholes et al., 2008)"},"properties":{"noteIndex":0},"schema":"https://github.com/citation-style-language/schema/raw/master/csl-citation.json"}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5D6EA5">
        <w:rPr>
          <w:rFonts w:ascii="Times New Roman" w:eastAsia="Times New Roman" w:hAnsi="Times New Roman" w:cs="Times New Roman"/>
          <w:noProof/>
          <w:sz w:val="24"/>
          <w:szCs w:val="24"/>
          <w:lang w:val="fr-CA"/>
        </w:rPr>
        <w:t>(Gonzalez et al., 2016; Pereira et al., 2010; Sala et al., 2000; Scholes et al., 2008)</w:t>
      </w:r>
      <w:r w:rsidRPr="004C4000">
        <w:rPr>
          <w:rFonts w:ascii="Times New Roman" w:eastAsia="Times New Roman" w:hAnsi="Times New Roman" w:cs="Times New Roman"/>
          <w:sz w:val="24"/>
          <w:szCs w:val="24"/>
        </w:rPr>
        <w:fldChar w:fldCharType="end"/>
      </w:r>
      <w:r w:rsidRPr="005D6EA5">
        <w:rPr>
          <w:rFonts w:ascii="Times New Roman" w:eastAsia="Times New Roman" w:hAnsi="Times New Roman" w:cs="Times New Roman"/>
          <w:sz w:val="24"/>
          <w:szCs w:val="24"/>
          <w:lang w:val="fr-CA"/>
        </w:rPr>
        <w:t xml:space="preserve">. </w:t>
      </w:r>
      <w:r w:rsidRPr="00E0779F">
        <w:rPr>
          <w:rFonts w:ascii="Times New Roman" w:eastAsia="Times New Roman" w:hAnsi="Times New Roman" w:cs="Times New Roman"/>
          <w:sz w:val="24"/>
          <w:szCs w:val="24"/>
        </w:rPr>
        <w:t>F</w:t>
      </w:r>
      <w:r w:rsidRPr="00896E43">
        <w:rPr>
          <w:rFonts w:ascii="Times New Roman" w:eastAsia="Times New Roman" w:hAnsi="Times New Roman" w:cs="Times New Roman"/>
          <w:sz w:val="24"/>
          <w:szCs w:val="24"/>
        </w:rPr>
        <w:t xml:space="preserve">iner scale </w:t>
      </w:r>
      <w:r>
        <w:rPr>
          <w:rFonts w:ascii="Times New Roman" w:eastAsia="Times New Roman" w:hAnsi="Times New Roman" w:cs="Times New Roman"/>
          <w:sz w:val="24"/>
          <w:szCs w:val="24"/>
        </w:rPr>
        <w:t xml:space="preserve">ecological research is </w:t>
      </w:r>
      <w:r w:rsidRPr="004C4000">
        <w:rPr>
          <w:rFonts w:ascii="Times New Roman" w:eastAsia="Times New Roman" w:hAnsi="Times New Roman" w:cs="Times New Roman"/>
          <w:sz w:val="24"/>
          <w:szCs w:val="24"/>
        </w:rPr>
        <w:t>needed to further our ability to predict change</w:t>
      </w:r>
      <w:r>
        <w:rPr>
          <w:rFonts w:ascii="Times New Roman" w:eastAsia="Times New Roman" w:hAnsi="Times New Roman" w:cs="Times New Roman"/>
          <w:sz w:val="24"/>
          <w:szCs w:val="24"/>
        </w:rPr>
        <w:t xml:space="preserve"> at the global scale </w:t>
      </w:r>
      <w:r w:rsidRPr="004C4000">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Biology","id":"ITEM-1","issue":"6","issued":{"date-parts":[["2009"]]},"page":"1557-1569","title":"Climate change and plant distribution: Local models predict high-elevation persistence","type":"article-journal","volume":"15"},"uris":["http://www.mendeley.com/documents/?uuid=5f12c243-f9f9-4608-b58f-494067998f13"]},{"id":"ITEM-2","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Evolution","id":"ITEM-2","issue":"10","issued":{"date-parts":[["2018"]]},"page":"790-802","publisher":"Elsevier Ltd","title":"Outstanding Challenges in the Transferability of Ecological Models","type":"article-journal","volume":"33"},"uris":["http://www.mendeley.com/documents/?uuid=7f69580b-2ea5-4e03-a0d5-0f3f10f4e522"]},{"id":"ITEM-3","itemData":{"DOI":"10.1111/1365-2664.12482","ISSN":"13652664","abstract":"©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Ecology","id":"ITEM-3","issue":"5","issued":{"date-parts":[["2015"]]},"page":"1293-1310","title":"Predictive ecology in a changing world","type":"article-journal","volume":"52"},"uris":["http://www.mendeley.com/documents/?uuid=1f9b1af9-4a9a-43b8-80e6-4f1ce31d7c83"]},{"id":"ITEM-4","itemData":{"DOI":"10.1126/science.1196624","ISSN":"0036-8075","abstract":"Quantitative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w:instrText>
      </w:r>
      <w:r w:rsidRPr="00F81D6F">
        <w:rPr>
          <w:rFonts w:ascii="Times New Roman" w:eastAsia="Times New Roman" w:hAnsi="Times New Roman" w:cs="Times New Roman"/>
          <w:sz w:val="24"/>
          <w:szCs w:val="24"/>
          <w:lang w:val="fr-CA"/>
        </w:rPr>
        <w:instrText>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-4","issue":"6010","issued":{"date-parts":[["2010"]]},"page":"1496-1501","title":"Scenarios for Global Biodiversity in the 21st Century","type":"article-journal","volume":"330"},"uris":["http://www.mendeley.com/documents/?uuid=9efbeed3-b383-49ce-9c49-eb80034c0864"]}],"mendeley":{"formattedCitation":"(Mouquet et al., 2015; Pereira et al., 2010; Randin et al., 2009; Yates et al., 2018)","plainTextFormattedCitation":"(Mouquet et al., 2015; Pereira et al., 2010; Randin et al., 2009; Yates et al., 2018)","previouslyFormattedCitation":"(Mouquet et al., 2015; Pereira et al., 2010; Randin et al., 2009; Yates et al.,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E43BA5">
        <w:rPr>
          <w:rFonts w:ascii="Times New Roman" w:eastAsia="Times New Roman" w:hAnsi="Times New Roman" w:cs="Times New Roman"/>
          <w:noProof/>
          <w:sz w:val="24"/>
          <w:szCs w:val="24"/>
          <w:lang w:val="fr-CA"/>
        </w:rPr>
        <w:t>(Mouquet et al., 2015; Pereira et al., 2010; Randin et al., 2009; Yates et al., 2018)</w:t>
      </w:r>
      <w:r w:rsidRPr="004C400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lang w:val="fr-CA"/>
        </w:rPr>
        <w:t>.</w:t>
      </w:r>
      <w:r w:rsidR="00EE582A">
        <w:rPr>
          <w:rFonts w:ascii="Times New Roman" w:eastAsia="Times New Roman" w:hAnsi="Times New Roman" w:cs="Times New Roman"/>
          <w:sz w:val="24"/>
          <w:szCs w:val="24"/>
          <w:lang w:val="fr-CA"/>
        </w:rPr>
        <w:t xml:space="preserve"> </w:t>
      </w:r>
    </w:p>
    <w:p w:rsidR="00EE582A" w:rsidRDefault="00EE582A" w:rsidP="00F81D6F">
      <w:pPr>
        <w:spacing w:after="240" w:line="480" w:lineRule="auto"/>
        <w:rPr>
          <w:rFonts w:ascii="Times New Roman" w:eastAsia="Times New Roman" w:hAnsi="Times New Roman" w:cs="Times New Roman"/>
          <w:sz w:val="24"/>
          <w:szCs w:val="24"/>
          <w:lang w:val="fr-CA"/>
        </w:rPr>
      </w:pPr>
    </w:p>
    <w:p w:rsidR="00EE582A" w:rsidRDefault="00EE582A" w:rsidP="00EE582A">
      <w:pPr>
        <w:spacing w:after="240" w:line="480" w:lineRule="auto"/>
        <w:rPr>
          <w:rFonts w:ascii="Times New Roman" w:eastAsia="Times New Roman" w:hAnsi="Times New Roman" w:cs="Times New Roman"/>
          <w:sz w:val="24"/>
          <w:szCs w:val="24"/>
          <w:lang w:val="fr-CA"/>
        </w:rPr>
      </w:pPr>
      <w:r w:rsidRPr="0007763B">
        <w:rPr>
          <w:rFonts w:ascii="Times New Roman" w:eastAsia="Times New Roman" w:hAnsi="Times New Roman" w:cs="Times New Roman"/>
          <w:sz w:val="24"/>
          <w:szCs w:val="24"/>
        </w:rPr>
        <w:t xml:space="preserve">The result of such events in a local population tend to alter the genetic distance of this population with surrounding populations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(Segelbacher et al., 2010)</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p>
    <w:p w:rsidR="00ED5A6E" w:rsidRDefault="006E25F7">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jjjjjjjjjjjjjjjjjjjjjjjjjjjjjjjjjjjjjjjjjjjjjjjjjjjjjjjjjjjjjjjjjj</w:t>
      </w:r>
      <w:bookmarkStart w:id="0" w:name="_GoBack"/>
      <w:bookmarkEnd w:id="0"/>
      <w:r w:rsidR="00ED5A6E">
        <w:rPr>
          <w:rFonts w:ascii="Times New Roman" w:eastAsia="Times New Roman" w:hAnsi="Times New Roman" w:cs="Times New Roman"/>
          <w:sz w:val="24"/>
          <w:szCs w:val="24"/>
          <w:lang w:val="fr-CA"/>
        </w:rPr>
        <w:br w:type="page"/>
      </w:r>
    </w:p>
    <w:p w:rsidR="00ED5A6E" w:rsidRPr="00ED5A6E" w:rsidRDefault="00ED5A6E" w:rsidP="00ED5A6E">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Landscape genetics can therefore help us address a wide array of questions</w:t>
      </w:r>
      <w:r>
        <w:rPr>
          <w:rFonts w:ascii="Times New Roman" w:eastAsia="Times New Roman" w:hAnsi="Times New Roman" w:cs="Times New Roman"/>
          <w:sz w:val="24"/>
          <w:szCs w:val="24"/>
        </w:rPr>
        <w:t xml:space="preserve"> which can be divided in four categories depending on what they focus 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Genetics","id":"ITEM-1","issue":"2","issued":{"date-parts":[["2013","7","28"]]},"page":"253-261","title":"A conceptual framework for the spatial analysis of landscape genetic data","type":"article-journal","volume":"14"},"uris":["http://www.mendeley.com/documents/?uuid=17c3354d-b8cf-4f88-9484-a72ad721ebe2"]}],"mendeley":{"formattedCitation":"(Wagner &amp; Fortin, 2013)","plainTextFormattedCitation":"(Wagner &amp; Fortin, 2013)","previouslyFormattedCitation":"(Wagner &amp; Fortin,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741B4">
        <w:rPr>
          <w:rFonts w:ascii="Times New Roman" w:eastAsia="Times New Roman" w:hAnsi="Times New Roman" w:cs="Times New Roman"/>
          <w:noProof/>
          <w:sz w:val="24"/>
          <w:szCs w:val="24"/>
        </w:rPr>
        <w:t>(Wagner &amp; Fortin,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population-level genetic diversity (node-based), local population-level connectedness (neighborhood-based), spatial separation of genetically-coherent clusters of populations (boundary-based), and finally the connectivity between populations (link-based).</w:t>
      </w:r>
    </w:p>
    <w:p w:rsidR="00713444" w:rsidRPr="00ED5A6E" w:rsidRDefault="00713444"/>
    <w:sectPr w:rsidR="00713444" w:rsidRPr="00ED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2NDI2MLQ0tDAzM7RU0lEKTi0uzszPAykwrAUAzVR2uCwAAAA="/>
  </w:docVars>
  <w:rsids>
    <w:rsidRoot w:val="00F81D6F"/>
    <w:rsid w:val="006E25F7"/>
    <w:rsid w:val="00713444"/>
    <w:rsid w:val="00ED5A6E"/>
    <w:rsid w:val="00EE582A"/>
    <w:rsid w:val="00F8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8F17"/>
  <w15:chartTrackingRefBased/>
  <w15:docId w15:val="{81E23607-C6D0-4C28-BF8F-17F60E31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8933</TotalTime>
  <Pages>1</Pages>
  <Words>7278</Words>
  <Characters>41485</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4</cp:revision>
  <dcterms:created xsi:type="dcterms:W3CDTF">2019-09-19T18:45:00Z</dcterms:created>
  <dcterms:modified xsi:type="dcterms:W3CDTF">2019-10-11T17:08:00Z</dcterms:modified>
</cp:coreProperties>
</file>