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Amanda Luttringer</w:t>
      </w:r>
      <w:r w:rsidR="003C460F">
        <w:t xml:space="preserve"> </w:t>
      </w:r>
      <w:r w:rsidR="002C6FBA" w:rsidRPr="00766375">
        <w:rPr>
          <w:vertAlign w:val="superscript"/>
        </w:rPr>
        <w:t>1,2</w:t>
      </w:r>
      <w:r w:rsidR="002C6FBA">
        <w:t>,</w:t>
      </w:r>
      <w:r w:rsidR="00857256">
        <w:t xml:space="preserve"> Hinatea Ariey</w:t>
      </w:r>
      <w:r w:rsidR="003C460F">
        <w:t xml:space="preserve"> </w:t>
      </w:r>
      <w:r w:rsidR="00857256" w:rsidRPr="00766375">
        <w:rPr>
          <w:vertAlign w:val="superscript"/>
        </w:rPr>
        <w:t>1,2</w:t>
      </w:r>
      <w:r w:rsidR="00857256">
        <w:t xml:space="preserve">, </w:t>
      </w:r>
      <w:r w:rsidR="003C6F7C">
        <w:t>Anna Schleimer</w:t>
      </w:r>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1: Musée National d’Histoire Naturelle, 25, rue Muenster, L-2160, Luxembourg, Luxembourg</w:t>
      </w:r>
    </w:p>
    <w:p w14:paraId="15B76019" w14:textId="62042F91" w:rsidR="00766375" w:rsidRDefault="00766375" w:rsidP="006F501D">
      <w:pPr>
        <w:rPr>
          <w:lang w:val="de-LU"/>
        </w:rPr>
      </w:pPr>
      <w:r w:rsidRPr="00F44CF5">
        <w:rPr>
          <w:lang w:val="de-LU"/>
        </w:rPr>
        <w:t>2: Fondation Faune-Flore, 24, rue Muenster, L-2160, Luxembourg, Luxembourg</w:t>
      </w:r>
    </w:p>
    <w:p w14:paraId="55A1BAFF" w14:textId="3A12B52F" w:rsidR="003C460F" w:rsidRPr="00FC5BA6" w:rsidRDefault="003C460F" w:rsidP="002637E4">
      <w:pPr>
        <w:rPr>
          <w:lang w:val="de-LU"/>
        </w:rPr>
      </w:pPr>
      <w:r w:rsidRPr="00FC5BA6">
        <w:rPr>
          <w:lang w:val="de-LU"/>
        </w:rPr>
        <w:t xml:space="preserve">3: </w:t>
      </w:r>
      <w:r w:rsidR="002637E4" w:rsidRPr="00FC5BA6">
        <w:rPr>
          <w:lang w:val="de-LU"/>
        </w:rPr>
        <w:t xml:space="preserve">Association for Nature and Biodiversity, 16 Birsteiner Strasse  60386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r w:rsidR="00766375" w:rsidRPr="00766375">
        <w:rPr>
          <w:lang w:val="de-LU"/>
        </w:rPr>
        <w:t>Koenig,</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723B1BB8" w14:textId="309E2F99" w:rsidR="00E2777C" w:rsidRDefault="006F501D" w:rsidP="00E2777C">
      <w:pPr>
        <w:rPr>
          <w:lang w:val="fr-FR"/>
        </w:rPr>
      </w:pPr>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bookmarkStart w:id="1" w:name="_GoBack"/>
      <w:bookmarkEnd w:id="1"/>
    </w:p>
    <w:p w14:paraId="33D9172C" w14:textId="77777777" w:rsidR="00FC5BA6" w:rsidRPr="00FC5BA6" w:rsidRDefault="00FC5BA6" w:rsidP="00E2777C"/>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t>
      </w:r>
      <w:r w:rsidR="008D42AB">
        <w:lastRenderedPageBreak/>
        <w:t>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w:t>
      </w:r>
      <w:r w:rsidR="009C3DBF">
        <w:lastRenderedPageBreak/>
        <w:t xml:space="preserve">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65A46EC" w14:textId="016E0B74" w:rsidR="00965DCE" w:rsidRDefault="00140123" w:rsidP="006F501D">
      <w:pPr>
        <w:rPr>
          <w:b/>
        </w:rPr>
      </w:pPr>
      <w:r w:rsidRPr="00BA4EDB">
        <w:t xml:space="preserve">In this </w:t>
      </w:r>
      <w:r w:rsidR="00B17A9B" w:rsidRPr="00BA4EDB">
        <w:t>study</w:t>
      </w:r>
      <w:r w:rsidRPr="00BA4EDB">
        <w:t>, we</w:t>
      </w:r>
      <w:r w:rsidR="00B17A9B" w:rsidRPr="00BA4EDB">
        <w:t xml:space="preserve"> investigate</w:t>
      </w:r>
      <w:r w:rsidR="00444634">
        <w:t>d</w:t>
      </w:r>
      <w:r w:rsidR="00B17A9B" w:rsidRPr="00BA4EDB">
        <w:t xml:space="preserve"> the genetic</w:t>
      </w:r>
      <w:r w:rsidR="00BA4EDB" w:rsidRPr="00BA4EDB">
        <w:t xml:space="preserve"> diversity,</w:t>
      </w:r>
      <w:r w:rsidR="00B17A9B" w:rsidRPr="00BA4EDB">
        <w:t xml:space="preserve"> structure</w:t>
      </w:r>
      <w:r w:rsidR="00637938">
        <w:t>,</w:t>
      </w:r>
      <w:r w:rsidR="00BA4EDB" w:rsidRPr="00BA4EDB">
        <w:t xml:space="preserve"> </w:t>
      </w:r>
      <w:r w:rsidR="00FA4705">
        <w:t>IBD</w:t>
      </w:r>
      <w:r w:rsidR="00637938">
        <w:t xml:space="preserve">, isolation-by-environment (IBE) and </w:t>
      </w:r>
      <w:commentRangeStart w:id="2"/>
      <w:r w:rsidR="00637938" w:rsidRPr="00582A5D">
        <w:t>demographic history</w:t>
      </w:r>
      <w:r w:rsidR="008A5972" w:rsidRPr="00582A5D">
        <w:t xml:space="preserve"> </w:t>
      </w:r>
      <w:commentRangeEnd w:id="2"/>
      <w:r w:rsidR="00582A5D">
        <w:rPr>
          <w:rStyle w:val="CommentReference"/>
        </w:rPr>
        <w:commentReference w:id="2"/>
      </w:r>
      <w:r w:rsidR="00B17A9B" w:rsidRPr="00582A5D">
        <w:t>of two species</w:t>
      </w:r>
      <w:r w:rsidR="00B17A9B" w:rsidRPr="00BA4EDB">
        <w:t xml:space="preserve"> of hoverflies</w:t>
      </w:r>
      <w:r w:rsidR="00875A11">
        <w:t xml:space="preserve">, </w:t>
      </w:r>
      <w:r w:rsidR="00F758B1" w:rsidRPr="00E72226">
        <w:rPr>
          <w:i/>
          <w:iCs/>
        </w:rPr>
        <w:t>Syritta</w:t>
      </w:r>
      <w:r w:rsidR="00875A11">
        <w:rPr>
          <w:i/>
        </w:rPr>
        <w:t xml:space="preserve"> pipiens</w:t>
      </w:r>
      <w:r w:rsidR="00875A11">
        <w:t xml:space="preserve"> and </w:t>
      </w:r>
      <w:r w:rsidR="00875A11">
        <w:rPr>
          <w:i/>
        </w:rPr>
        <w:t>M</w:t>
      </w:r>
      <w:r w:rsidR="00F758B1">
        <w:rPr>
          <w:i/>
        </w:rPr>
        <w:t>yathropa</w:t>
      </w:r>
      <w:r w:rsidR="00875A11">
        <w:rPr>
          <w:i/>
        </w:rPr>
        <w:t xml:space="preserve"> florea</w:t>
      </w:r>
      <w:r w:rsidR="00875A11">
        <w:t>, based on</w:t>
      </w:r>
      <w:r w:rsidR="00875A11">
        <w:rPr>
          <w:i/>
        </w:rPr>
        <w:t xml:space="preserve"> </w:t>
      </w:r>
      <w:r w:rsidR="00875A11">
        <w:t xml:space="preserve">thousands of individuals in two </w:t>
      </w:r>
      <w:r w:rsidR="00B17A9B" w:rsidRPr="00BA4EDB">
        <w:t>urbanized landscapes</w:t>
      </w:r>
      <w:r w:rsidR="00875A11">
        <w:t xml:space="preserve"> in </w:t>
      </w:r>
      <w:r w:rsidR="00F758B1">
        <w:t xml:space="preserve">western </w:t>
      </w:r>
      <w:r w:rsidR="00875A11">
        <w:t>Europe</w:t>
      </w:r>
      <w:r w:rsidR="00B17A9B" w:rsidRPr="00BA4EDB">
        <w:t>.</w:t>
      </w:r>
      <w:r w:rsidR="00B17A9B">
        <w:rPr>
          <w:b/>
        </w:rPr>
        <w:t xml:space="preserve"> </w:t>
      </w:r>
      <w:r w:rsidR="009B1F4A">
        <w:t>We expect</w:t>
      </w:r>
      <w:r w:rsidR="00444634">
        <w:t>ed</w:t>
      </w:r>
      <w:r w:rsidR="009B1F4A">
        <w:t xml:space="preserve"> some </w:t>
      </w:r>
      <w:r w:rsidR="00444634">
        <w:t>population-wide</w:t>
      </w:r>
      <w:r w:rsidR="0006107C">
        <w:t xml:space="preserve"> </w:t>
      </w:r>
      <w:r w:rsidR="00444634">
        <w:t xml:space="preserve">and fine-scale </w:t>
      </w:r>
      <w:r w:rsidR="00444634" w:rsidRPr="00582A5D">
        <w:t xml:space="preserve">genetic </w:t>
      </w:r>
      <w:r w:rsidR="0006107C" w:rsidRPr="00582A5D">
        <w:t xml:space="preserve">structure due to the large </w:t>
      </w:r>
      <w:r w:rsidR="00582A5D" w:rsidRPr="00582A5D">
        <w:t xml:space="preserve">distance between study areas (ca. 150 km) and the large </w:t>
      </w:r>
      <w:r w:rsidR="0006107C" w:rsidRPr="00582A5D">
        <w:t xml:space="preserve">extent </w:t>
      </w:r>
      <w:r w:rsidR="00582A5D" w:rsidRPr="00582A5D">
        <w:t>of</w:t>
      </w:r>
      <w:r w:rsidR="00582A5D">
        <w:t xml:space="preserve"> </w:t>
      </w:r>
      <w:commentRangeStart w:id="3"/>
      <w:r w:rsidR="00A61678">
        <w:t>unvegetated impervious areas</w:t>
      </w:r>
      <w:r w:rsidR="006D0E61">
        <w:t xml:space="preserve"> present in and around cities</w:t>
      </w:r>
      <w:r w:rsidR="00A61678">
        <w:t>.</w:t>
      </w:r>
      <w:commentRangeEnd w:id="3"/>
      <w:r w:rsidR="003F7365">
        <w:rPr>
          <w:rStyle w:val="CommentReference"/>
        </w:rPr>
        <w:commentReference w:id="3"/>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r>
        <w:t xml:space="preserve">  </w:t>
      </w:r>
      <w:r w:rsidR="001E1E6D" w:rsidRPr="001E1E6D">
        <w:t>S</w:t>
      </w:r>
      <w:r>
        <w:t xml:space="preserve">tudy areas, </w:t>
      </w:r>
      <w:r w:rsidR="00E56156">
        <w:t>s</w:t>
      </w:r>
      <w:r w:rsidR="00E56156" w:rsidRPr="001E1E6D">
        <w:t>tudy organisms</w:t>
      </w:r>
      <w:r w:rsidR="00E56156">
        <w:t xml:space="preserve">, </w:t>
      </w:r>
      <w:r>
        <w:t>and sampling</w:t>
      </w:r>
    </w:p>
    <w:p w14:paraId="696CEE92" w14:textId="1E3CFE87"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FC5BA6">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FC5BA6">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FC5BA6" w:rsidRPr="00FC5BA6">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FC5BA6">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w:t>
      </w:r>
      <w:r w:rsidR="00A93CCF" w:rsidRPr="00A93CCF">
        <w:lastRenderedPageBreak/>
        <w:t xml:space="preserve">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FC5BA6">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FC5BA6" w:rsidRPr="00FC5BA6">
        <w:rPr>
          <w:rFonts w:cs="Times New Roman"/>
        </w:rPr>
        <w:t>(Braun and Herold, 2004; Curdes, 1998; Mitter and Weber, 2011)</w:t>
      </w:r>
      <w:r w:rsidR="00ED0178">
        <w:fldChar w:fldCharType="end"/>
      </w:r>
      <w:r w:rsidR="003216BF" w:rsidRPr="003216BF">
        <w:t>.</w:t>
      </w:r>
    </w:p>
    <w:p w14:paraId="02F63F2A" w14:textId="36D4C209" w:rsidR="00267577" w:rsidRDefault="00E72226" w:rsidP="00BC7A53">
      <w:r>
        <w:t>As study organisms, we</w:t>
      </w:r>
      <w:r w:rsidR="001360C3">
        <w:t xml:space="preserve"> chose</w:t>
      </w:r>
      <w:r>
        <w:t xml:space="preserve"> </w:t>
      </w:r>
      <w:r w:rsidRPr="00E72226">
        <w:rPr>
          <w:i/>
          <w:iCs/>
        </w:rPr>
        <w:t>S</w:t>
      </w:r>
      <w:r w:rsidR="0094407B">
        <w:rPr>
          <w:i/>
          <w:iCs/>
        </w:rPr>
        <w:t>.</w:t>
      </w:r>
      <w:r w:rsidRPr="00E72226">
        <w:rPr>
          <w:i/>
          <w:iCs/>
        </w:rPr>
        <w:t xml:space="preserve"> pipiens</w:t>
      </w:r>
      <w:r>
        <w:t xml:space="preserve"> (Linnaeus, 1758) and </w:t>
      </w:r>
      <w:r w:rsidRPr="00E72226">
        <w:rPr>
          <w:i/>
          <w:iCs/>
        </w:rPr>
        <w:t>M</w:t>
      </w:r>
      <w:r w:rsidR="0094407B">
        <w:rPr>
          <w:i/>
          <w:iCs/>
        </w:rPr>
        <w:t>.</w:t>
      </w:r>
      <w:r w:rsidRPr="00E72226">
        <w:rPr>
          <w:i/>
          <w:iCs/>
        </w:rPr>
        <w:t xml:space="preserve"> florea</w:t>
      </w:r>
      <w:r w:rsidR="001360C3">
        <w:t xml:space="preserve"> </w:t>
      </w:r>
      <w:r>
        <w:t xml:space="preserve">(Linnaeus, 1758),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xml:space="preserve">. </w:t>
      </w:r>
      <w:commentRangeStart w:id="4"/>
      <w:r w:rsidR="006E2CF9">
        <w:t xml:space="preserve">Samples were caught using hand-netting and stored in </w:t>
      </w:r>
      <w:r w:rsidR="006B5DAF">
        <w:t>90</w:t>
      </w:r>
      <w:r w:rsidR="006E2CF9">
        <w:t>% ethanol</w:t>
      </w:r>
      <w:r w:rsidR="00CE0B8D">
        <w:t xml:space="preserve"> in the field and kept in a freezer</w:t>
      </w:r>
      <w:r w:rsidR="006E2CF9">
        <w:t xml:space="preserve"> until further processing.</w:t>
      </w:r>
      <w:r w:rsidR="006B5DAF">
        <w:t xml:space="preserve"> Species identity was confirmed under the microscope.</w:t>
      </w:r>
      <w:commentRangeEnd w:id="4"/>
      <w:r w:rsidR="006B5DAF">
        <w:rPr>
          <w:rStyle w:val="CommentReference"/>
        </w:rPr>
        <w:commentReference w:id="4"/>
      </w:r>
    </w:p>
    <w:p w14:paraId="1F5D8536" w14:textId="6D5177A0" w:rsidR="00D802C3" w:rsidRPr="00F27A6C" w:rsidRDefault="00734882" w:rsidP="00D802C3">
      <w:r>
        <w:rPr>
          <w:noProof/>
          <w:lang w:val="de-LU" w:eastAsia="de-LU"/>
        </w:rPr>
        <w:lastRenderedPageBreak/>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1343B418" w:rsidR="00D802C3" w:rsidRPr="0079323A"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r w:rsidRPr="00265C11">
        <w:t>|</w:t>
      </w:r>
      <w:r>
        <w:t xml:space="preserve">  Laboratory procedures</w:t>
      </w:r>
    </w:p>
    <w:p w14:paraId="34CE2782" w14:textId="5EE367A4" w:rsidR="00EB338F" w:rsidRPr="00A05CC9" w:rsidRDefault="006B5DAF" w:rsidP="00EB338F">
      <w:commentRangeStart w:id="5"/>
      <w:r>
        <w:t xml:space="preserve">One leg of each sample </w:t>
      </w:r>
      <w:commentRangeEnd w:id="5"/>
      <w:r>
        <w:rPr>
          <w:rStyle w:val="CommentReference"/>
        </w:rPr>
        <w:commentReference w:id="5"/>
      </w:r>
      <w:r>
        <w:t xml:space="preserve">was placed in an Eppendorf tube and grinded by vortexing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were quantified using a Drop-Sense 16 spectrophotometer (Trinean, Gentbrugge,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florea</w:t>
      </w:r>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w:t>
      </w:r>
      <w:r w:rsidR="00445354">
        <w:lastRenderedPageBreak/>
        <w:t>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r w:rsidR="001C4D16">
        <w:t xml:space="preserve">GoTaq Master Mix (Promega, </w:t>
      </w:r>
      <w:r w:rsidR="001C4D16" w:rsidRPr="000B71A5">
        <w:t xml:space="preserve">Walldorf, </w:t>
      </w:r>
      <w:commentRangeStart w:id="6"/>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6"/>
      <w:r w:rsidR="00F27A6C">
        <w:rPr>
          <w:rStyle w:val="CommentReference"/>
        </w:rPr>
        <w:commentReference w:id="6"/>
      </w:r>
      <w:r w:rsidR="009A26C0">
        <w:t>The PCRs were performed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pipiens</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florea</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 xml:space="preserve">and between 0.1-0.4 μM of each primer (Table X). PCRs started with 3 min denaturation at 95 °C, followed by 35 cycles of denaturation at 94 °C for 30 s, annealing at 60°C for 45 s and extension at 72 °C for 30 s. The final incubation was at 72 °C for 10 min. Allele sizes were determined using GENEMAPPER version 4.0 (Applied Biosystems). The genetic profiles of all </w:t>
      </w:r>
      <w:commentRangeStart w:id="7"/>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pipiens</w:t>
      </w:r>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florea</w:t>
      </w:r>
      <w:r w:rsidR="00EB338F">
        <w:t>.</w:t>
      </w:r>
      <w:commentRangeEnd w:id="7"/>
      <w:r w:rsidR="001F7A46">
        <w:rPr>
          <w:rStyle w:val="CommentReference"/>
        </w:rPr>
        <w:commentReference w:id="7"/>
      </w:r>
    </w:p>
    <w:p w14:paraId="4856C33F" w14:textId="23938E70" w:rsidR="003C4C9B" w:rsidRDefault="00BA40E3" w:rsidP="008F518D">
      <w:pPr>
        <w:pStyle w:val="Heading2"/>
        <w:numPr>
          <w:ilvl w:val="1"/>
          <w:numId w:val="1"/>
        </w:numPr>
      </w:pPr>
      <w:r>
        <w:t xml:space="preserve"> </w:t>
      </w:r>
      <w:r w:rsidR="00265C11">
        <w:t>|  Genetic diversity</w:t>
      </w:r>
    </w:p>
    <w:p w14:paraId="39EFF0FE" w14:textId="1EB073AA" w:rsidR="00FE584C" w:rsidRPr="00D82B31" w:rsidRDefault="00DC0F04" w:rsidP="00736B58">
      <w:r>
        <w:t xml:space="preserve">To evaluate deviations from the Hardy-Weinberg equilibrium, we first split the dataset into two geographic populations corresponding to the study areas, and further divided genetic samples by communes (Luxembourg) and districts (Cologne). We only kept 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xml:space="preserve">. We considered that loci presenting a disequilibrium (p-value &lt; 0.05 after false discovery rate correction) in </w:t>
      </w:r>
      <w:commentRangeStart w:id="8"/>
      <w:r>
        <w:t>more than a third of spatial units were problematic</w:t>
      </w:r>
      <w:commentRangeEnd w:id="8"/>
      <w:r>
        <w:rPr>
          <w:rStyle w:val="CommentReference"/>
        </w:rPr>
        <w:commentReference w:id="8"/>
      </w:r>
      <w:r>
        <w:t xml:space="preserve">. 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 xml:space="preserve">(Agapow </w:t>
      </w:r>
      <w:r w:rsidR="00FC5BA6" w:rsidRPr="00FC5BA6">
        <w:rPr>
          <w:rFonts w:cs="Times New Roman"/>
        </w:rPr>
        <w:lastRenderedPageBreak/>
        <w:t>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9"/>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9"/>
      <w:r w:rsidR="00C0441D">
        <w:rPr>
          <w:rStyle w:val="CommentReference"/>
        </w:rPr>
        <w:commentReference w:id="9"/>
      </w:r>
      <w:r>
        <w:t xml:space="preserve">, </w:t>
      </w:r>
      <w:commentRangeStart w:id="10"/>
      <w:r>
        <w:t>fixations indices per locus</w:t>
      </w:r>
      <w:commentRangeEnd w:id="10"/>
      <w:r w:rsidR="00C0441D">
        <w:rPr>
          <w:rStyle w:val="CommentReference"/>
        </w:rPr>
        <w:commentReference w:id="10"/>
      </w:r>
      <w:r>
        <w:t xml:space="preserve">, and the </w:t>
      </w:r>
      <w:commentRangeStart w:id="11"/>
      <w:r>
        <w:t xml:space="preserve">pairwise genetic distance between our study areas </w:t>
      </w:r>
      <w:commentRangeEnd w:id="11"/>
      <w:r w:rsidR="00C0441D">
        <w:rPr>
          <w:rStyle w:val="CommentReference"/>
        </w:rPr>
        <w:commentReference w:id="11"/>
      </w:r>
      <w:r>
        <w:t xml:space="preserve">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r w:rsidR="00537624">
        <w:t xml:space="preserve">  Clustering</w:t>
      </w:r>
    </w:p>
    <w:p w14:paraId="0122B9CF" w14:textId="665A4611"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FC5BA6">
        <w:rPr>
          <w:rFonts w:cs="Times New Roman"/>
        </w:rPr>
        <w:t>(Wang, 2017)</w:t>
      </w:r>
      <w:r>
        <w:fldChar w:fldCharType="end"/>
      </w:r>
      <w:r>
        <w:t xml:space="preserve">. We conducted ten independent runs with 200 000 Markov Chain Monte Carlo burn-in iterations followed by 1 000 000 iterations for one to six clusters. The estimated posterior probability for the data </w:t>
      </w:r>
      <m:oMath>
        <m:r>
          <w:rPr>
            <w:rFonts w:ascii="Cambria Math" w:hAnsi="Cambria Math"/>
          </w:rPr>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Pr="00AF2558">
        <w:rPr>
          <w:rFonts w:cs="Times New Roman"/>
        </w:rPr>
        <w:t xml:space="preserve"> </w:t>
      </w:r>
      <w:commentRangeStart w:id="12"/>
      <w:r w:rsidRPr="00F706A2">
        <w:rPr>
          <w:rFonts w:cs="Times New Roman"/>
        </w:rPr>
        <w:t>Corander et al., 2008</w:t>
      </w:r>
      <w:commentRangeEnd w:id="12"/>
      <w:r>
        <w:rPr>
          <w:rStyle w:val="CommentReference"/>
        </w:rPr>
        <w:commentReference w:id="12"/>
      </w:r>
      <w:r w:rsidRPr="00AF2558">
        <w:t>). The algorithm considers both the genetic data and the specific geographic coordinates and modally assigns each individual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3B201F01"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followed the </w:t>
      </w:r>
      <w:commentRangeStart w:id="13"/>
      <w:r w:rsidRPr="007D20D8">
        <w:t xml:space="preserve">up-to-date recommendations from the development team regarding the </w:t>
      </w:r>
      <w:r w:rsidRPr="007D20D8">
        <w:lastRenderedPageBreak/>
        <w:t>appropriate steps to conduct DAPC</w:t>
      </w:r>
      <w:r>
        <w:t xml:space="preserve"> </w:t>
      </w:r>
      <w:commentRangeEnd w:id="13"/>
      <w:r>
        <w:rPr>
          <w:rStyle w:val="CommentReference"/>
        </w:rPr>
        <w:commentReference w:id="13"/>
      </w:r>
      <w:r>
        <w:fldChar w:fldCharType="begin"/>
      </w:r>
      <w:r w:rsidR="00FC5BA6">
        <w:instrText xml:space="preserve"> ADDIN ZOTERO_ITEM CSL_CITATION {"citationID":"tfc3Kcz2","properties":{"formattedCitation":"(Jombart and Collins, 2022)","plainCitation":"(Jombart and Collins, 2022)","noteIndex":0},"citationItems":[{"id":13548,"uris":["http://zotero.org/users/4948104/items/JKCF87YF"],"itemData":{"id":13548,"type":"document","abstract":"This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fldChar w:fldCharType="separate"/>
      </w:r>
      <w:r w:rsidR="00FC5BA6" w:rsidRPr="00FC5BA6">
        <w:rPr>
          <w:rFonts w:cs="Times New Roman"/>
        </w:rPr>
        <w:t>(Jombart and Collins, 2022)</w:t>
      </w:r>
      <w:r>
        <w:fldChar w:fldCharType="end"/>
      </w:r>
      <w:r>
        <w:t xml:space="preserve">. We chose the best number of components to retain for the DAPC based on both cross-validation (1000 iterations) and </w:t>
      </w:r>
      <w:r w:rsidRPr="00512650">
        <w:rPr>
          <w:i/>
          <w:iCs/>
        </w:rPr>
        <w:t>a</w:t>
      </w:r>
      <w:r>
        <w:t xml:space="preserve">-score optimization. </w:t>
      </w:r>
      <w:commentRangeStart w:id="14"/>
      <w:r>
        <w:t>This is a necessary step because the first few components represent most of the genetic variation, we wanted to find a balance to preserve discrimination power while avoiding overfitting</w:t>
      </w:r>
      <w:commentRangeEnd w:id="14"/>
      <w:r>
        <w:rPr>
          <w:rStyle w:val="CommentReference"/>
        </w:rPr>
        <w:commentReference w:id="14"/>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  </w:t>
      </w:r>
      <w:r w:rsidR="00FD599D">
        <w:t>I</w:t>
      </w:r>
      <w:r w:rsidR="003C4C9B">
        <w:t>solation-by-distance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r w:rsidR="003C1EBB">
        <w:rPr>
          <w:i/>
        </w:rPr>
        <w:t xml:space="preserve">EcoGenetics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  Isolation-by-environment</w:t>
      </w:r>
    </w:p>
    <w:p w14:paraId="689F9D3C" w14:textId="4CFA636F"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r w:rsidRPr="00DC0F04">
        <w:rPr>
          <w:i/>
          <w:lang w:val="en-GB"/>
        </w:rPr>
        <w:t>gdm</w:t>
      </w:r>
      <w:r>
        <w:rPr>
          <w:lang w:val="en-GB"/>
        </w:rPr>
        <w:t xml:space="preserve"> R package (v. 1.5.0-9.1; </w:t>
      </w:r>
      <w:commentRangeStart w:id="15"/>
      <w:r>
        <w:rPr>
          <w:lang w:val="en-GB"/>
        </w:rPr>
        <w:t>REF</w:t>
      </w:r>
      <w:commentRangeEnd w:id="15"/>
      <w:r w:rsidR="00116356">
        <w:rPr>
          <w:rStyle w:val="CommentReference"/>
        </w:rPr>
        <w:commentReference w:id="15"/>
      </w:r>
      <w:r>
        <w:rPr>
          <w:lang w:val="en-GB"/>
        </w:rPr>
        <w:t>)</w:t>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lastRenderedPageBreak/>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 xml:space="preserve">EU Digital Elevation Model, Copernicus, 25m resolution), i.e. elevation, slope, roughness, and terrain ruggedness index, from climatic data (WorldClim,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 </w:t>
      </w:r>
      <w:commentRangeStart w:id="16"/>
      <w:r w:rsidRPr="00001874">
        <w:rPr>
          <w:lang w:val="en-GB"/>
        </w:rPr>
        <w:t>REF</w:t>
      </w:r>
      <w:commentRangeEnd w:id="16"/>
      <w:r w:rsidR="00116356">
        <w:rPr>
          <w:rStyle w:val="CommentReference"/>
        </w:rPr>
        <w:commentReference w:id="16"/>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  Genetic diversity</w:t>
      </w:r>
      <w:r w:rsidR="00EB54B8">
        <w:t xml:space="preserve"> and </w:t>
      </w:r>
      <w:r w:rsidR="00BA40E3">
        <w:t>population genetic structure</w:t>
      </w:r>
    </w:p>
    <w:p w14:paraId="09F9BA16" w14:textId="74BAFE65" w:rsidR="00EB54B8" w:rsidRDefault="006E2CF9" w:rsidP="006E2CF9">
      <w:pPr>
        <w:rPr>
          <w:b/>
        </w:rPr>
      </w:pPr>
      <w:r>
        <w:t>A total of</w:t>
      </w:r>
      <w:r w:rsidRPr="006E2CF9">
        <w:t xml:space="preserve"> 831 and 1226 </w:t>
      </w:r>
      <w:r w:rsidRPr="006E2CF9">
        <w:rPr>
          <w:i/>
        </w:rPr>
        <w:t>S. pipiens</w:t>
      </w:r>
      <w:r w:rsidRPr="006E2CF9">
        <w:t xml:space="preserve">, and 559 and 394 </w:t>
      </w:r>
      <w:r w:rsidRPr="006E2CF9">
        <w:rPr>
          <w:i/>
        </w:rPr>
        <w:t>M. florea</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3C0714" w:rsidRPr="003C0714">
        <w:rPr>
          <w:i/>
        </w:rPr>
        <w:t>S. pipiens</w:t>
      </w:r>
      <w:r w:rsidR="003C0714">
        <w:t xml:space="preserve"> dataset due to heterozygote deficiency (possible null alleles) and linkage disequilibrium. The locus MF303 was excluded from the </w:t>
      </w:r>
      <w:r w:rsidR="003C0714" w:rsidRPr="003C0714">
        <w:rPr>
          <w:i/>
        </w:rPr>
        <w:t>M. florea</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multilocus genotypes were characterized by 2.24% and 2.93% missing data in </w:t>
      </w:r>
      <w:r w:rsidR="00FF752D" w:rsidRPr="00FF752D">
        <w:rPr>
          <w:i/>
        </w:rPr>
        <w:t>S. pipiens</w:t>
      </w:r>
      <w:r w:rsidR="00FF752D">
        <w:t xml:space="preserve"> and </w:t>
      </w:r>
      <w:r w:rsidR="00FF752D" w:rsidRPr="00FF752D">
        <w:rPr>
          <w:i/>
        </w:rPr>
        <w:t>M. florea</w:t>
      </w:r>
      <w:r w:rsidR="00FF752D">
        <w:t xml:space="preserve">, respectively. </w:t>
      </w:r>
      <w:commentRangeStart w:id="17"/>
      <w:r w:rsidR="00DA6784" w:rsidRPr="00EB54B8">
        <w:t xml:space="preserve">Average expected </w:t>
      </w:r>
      <w:r w:rsidR="006D3B96" w:rsidRPr="00EB54B8">
        <w:t xml:space="preserve">(He </w:t>
      </w:r>
      <w:r w:rsidR="00FF752D">
        <w:rPr>
          <w:rFonts w:cs="Times New Roman"/>
        </w:rPr>
        <w:t>±</w:t>
      </w:r>
      <w:r w:rsidR="006D3B96" w:rsidRPr="00EB54B8">
        <w:t xml:space="preserve"> sd) </w:t>
      </w:r>
      <w:r w:rsidR="00DA6784" w:rsidRPr="00EB54B8">
        <w:t xml:space="preserve">and observed heterozygosity </w:t>
      </w:r>
      <w:r w:rsidR="006D3B96" w:rsidRPr="00EB54B8">
        <w:t xml:space="preserve">(Ho </w:t>
      </w:r>
      <w:r w:rsidR="00FF752D">
        <w:rPr>
          <w:rFonts w:cs="Times New Roman"/>
        </w:rPr>
        <w:t>±</w:t>
      </w:r>
      <w:r w:rsidR="006D3B96" w:rsidRPr="00EB54B8">
        <w:t xml:space="preserve"> sd)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M. florea</w:t>
      </w:r>
      <w:r w:rsidR="00F76287" w:rsidRPr="00EB54B8">
        <w:t>.</w:t>
      </w:r>
      <w:r w:rsidR="00F76287" w:rsidRPr="00EB54B8">
        <w:rPr>
          <w:b/>
        </w:rPr>
        <w:t xml:space="preserve"> </w:t>
      </w:r>
      <w:commentRangeEnd w:id="17"/>
      <w:r w:rsidR="00FF752D">
        <w:rPr>
          <w:rStyle w:val="CommentReference"/>
        </w:rPr>
        <w:commentReference w:id="17"/>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lang w:val="de-LU" w:eastAsia="de-LU"/>
        </w:rPr>
        <w:lastRenderedPageBreak/>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2637E4" w:rsidRPr="00F3668F" w:rsidRDefault="002637E4"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2637E4" w:rsidRPr="00F3668F" w:rsidRDefault="002637E4"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2637E4" w:rsidRPr="00F3668F" w:rsidRDefault="002637E4"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2637E4" w:rsidRPr="00F3668F" w:rsidRDefault="002637E4"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18"/>
      <w:r w:rsidRPr="007717BC">
        <w:rPr>
          <w:b/>
          <w:bCs/>
        </w:rPr>
        <w:t>Fig</w:t>
      </w:r>
      <w:r>
        <w:rPr>
          <w:b/>
          <w:bCs/>
        </w:rPr>
        <w:t xml:space="preserve">ure 3. </w:t>
      </w:r>
      <w:r>
        <w:t xml:space="preserve">Discrimination </w:t>
      </w:r>
      <w:commentRangeEnd w:id="18"/>
      <w:r>
        <w:rPr>
          <w:rStyle w:val="CommentReference"/>
        </w:rPr>
        <w:commentReference w:id="18"/>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w:t>
      </w:r>
      <w:r>
        <w:lastRenderedPageBreak/>
        <w:t>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r w:rsidR="004B144A">
        <w:t>|</w:t>
      </w:r>
      <w:r w:rsidR="000071E4">
        <w:t xml:space="preserve"> </w:t>
      </w:r>
      <w:r w:rsidR="0075181F">
        <w:t xml:space="preserve"> </w:t>
      </w:r>
      <w:r>
        <w:t>Isolation-by-distance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pipiens</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r>
        <w:t>|  Isolation-by-</w:t>
      </w:r>
      <w:r w:rsidR="00C90829">
        <w:t>e</w:t>
      </w:r>
      <w:r>
        <w:t>nvironment</w:t>
      </w:r>
    </w:p>
    <w:p w14:paraId="5D64EDA5" w14:textId="1CBF2544" w:rsidR="00001874" w:rsidRDefault="00001874" w:rsidP="00001874">
      <w:pPr>
        <w:rPr>
          <w:lang w:val="en-GB"/>
        </w:rPr>
      </w:pPr>
      <w:r>
        <w:rPr>
          <w:lang w:val="en-GB"/>
        </w:rPr>
        <w:t xml:space="preserve">For both </w:t>
      </w:r>
      <w:r w:rsidRPr="00B152AD">
        <w:rPr>
          <w:i/>
          <w:lang w:val="en-GB"/>
        </w:rPr>
        <w:t>M. florea</w:t>
      </w:r>
      <w:r>
        <w:rPr>
          <w:lang w:val="en-GB"/>
        </w:rPr>
        <w:t xml:space="preserve"> and </w:t>
      </w:r>
      <w:r w:rsidRPr="00B152AD">
        <w:rPr>
          <w:i/>
          <w:lang w:val="en-GB"/>
        </w:rPr>
        <w:t>S. pipiens</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  </w:t>
      </w:r>
      <w:r w:rsidR="00BD6B63">
        <w:t>High l</w:t>
      </w:r>
      <w:r w:rsidRPr="00920AAC">
        <w:t>arge-scale population connectivity</w:t>
      </w:r>
    </w:p>
    <w:p w14:paraId="58F5F9CC" w14:textId="1351983E" w:rsidR="006832AD" w:rsidRDefault="00970970" w:rsidP="00056907">
      <w:r>
        <w:lastRenderedPageBreak/>
        <w:t xml:space="preserve">The characteristics of </w:t>
      </w:r>
      <w:r w:rsidR="00D669D7">
        <w:t xml:space="preserve">genetic structure measured in this study indicates </w:t>
      </w:r>
      <w:commentRangeStart w:id="19"/>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9"/>
      <w:r w:rsidR="00C90829">
        <w:rPr>
          <w:rStyle w:val="CommentReference"/>
        </w:rPr>
        <w:commentReference w:id="19"/>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7CBF087D" w:rsidR="003D6EAF" w:rsidRDefault="009965BE" w:rsidP="00056907">
      <w:commentRangeStart w:id="20"/>
      <w:commentRangeStart w:id="21"/>
      <w:r>
        <w:t xml:space="preserve">Superficially, </w:t>
      </w:r>
      <w:r w:rsidR="00747E7F">
        <w:t xml:space="preserve">one might be tempted to conclude towards the higher number of genetic clusters. </w:t>
      </w:r>
      <w:r w:rsidR="00920804">
        <w:t>However, several elements belie this simple conclusion. First</w:t>
      </w:r>
      <w:r>
        <w:t xml:space="preserve">, the structure did not map at all on geographic origins, within or even between study areas </w:t>
      </w:r>
      <w:commentRangeEnd w:id="20"/>
      <w:r w:rsidR="00A77FA7">
        <w:rPr>
          <w:rStyle w:val="CommentReference"/>
        </w:rPr>
        <w:commentReference w:id="20"/>
      </w:r>
      <w:r>
        <w:t>(Fig. 2-3). This can be seen in the spatially random and mixed assignments in the STRUCTURE analys</w:t>
      </w:r>
      <w:r w:rsidR="00927A67">
        <w:t>e</w:t>
      </w:r>
      <w:r>
        <w:t>s (Fig. 2)</w:t>
      </w:r>
      <w:r w:rsidR="00927A67">
        <w:t>. Not a single cluster is restricted to a specific study area.</w:t>
      </w:r>
      <w:r>
        <w:t xml:space="preserve"> </w:t>
      </w:r>
      <w:r w:rsidR="00927A67">
        <w:t xml:space="preserve">Similarly, DAPC outcomes show very poor performance for </w:t>
      </w:r>
      <w:r w:rsidR="00927A67">
        <w:rPr>
          <w:i/>
          <w:iCs/>
        </w:rPr>
        <w:t xml:space="preserve">a priori </w:t>
      </w:r>
      <w:r w:rsidR="00927A67">
        <w:t>DAPC (Fig. 3A) where the grouping corresponds to study areas, and again assignments seem to be randomly distributed across study area</w:t>
      </w:r>
      <w:r w:rsidR="00700AB0">
        <w:t xml:space="preserve"> (Fig. 3C)</w:t>
      </w:r>
      <w:r w:rsidR="00927A67">
        <w:t xml:space="preserve">. </w:t>
      </w:r>
      <w:r>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M. florea</w:t>
      </w:r>
      <w:r w:rsidR="00F4178A">
        <w:t>.</w:t>
      </w:r>
      <w:r w:rsidR="00FA1914" w:rsidRPr="00FA1914">
        <w:t xml:space="preserve"> </w:t>
      </w:r>
      <w:r w:rsidR="00FA1914">
        <w:t>Finally, some performance metrics for the Bayesian analysis did select lower number of clusters (</w:t>
      </w:r>
      <w:r w:rsidR="00FA1914">
        <w:rPr>
          <w:i/>
          <w:iCs/>
        </w:rPr>
        <w:t>K</w:t>
      </w:r>
      <w:r w:rsidR="00FA1914">
        <w:t xml:space="preserve">=1 for </w:t>
      </w:r>
      <w:r w:rsidR="00FA1914">
        <w:rPr>
          <w:i/>
          <w:iCs/>
        </w:rPr>
        <w:t xml:space="preserve">S. </w:t>
      </w:r>
      <w:r w:rsidR="00FA1914" w:rsidRPr="00FA1914">
        <w:t>pipiens</w:t>
      </w:r>
      <w:r w:rsidR="00FA1914">
        <w:t xml:space="preserve"> and </w:t>
      </w:r>
      <w:r w:rsidR="00FA1914">
        <w:rPr>
          <w:i/>
          <w:iCs/>
        </w:rPr>
        <w:t>K</w:t>
      </w:r>
      <w:r w:rsidR="00FA1914">
        <w:t xml:space="preserve">=2 for </w:t>
      </w:r>
      <w:r w:rsidR="00FA1914">
        <w:rPr>
          <w:i/>
          <w:iCs/>
        </w:rPr>
        <w:t>M. florea</w:t>
      </w:r>
      <w:r w:rsidR="00FA1914">
        <w:t>)</w:t>
      </w:r>
      <w:r w:rsidR="002F5CAD">
        <w:t xml:space="preserve"> which further highlights the likely spatial structure of those two species.</w:t>
      </w:r>
      <w:r w:rsidR="006832AD">
        <w:t xml:space="preserve"> </w:t>
      </w:r>
      <w:commentRangeEnd w:id="21"/>
      <w:r w:rsidR="00C90829">
        <w:rPr>
          <w:rStyle w:val="CommentReference"/>
        </w:rPr>
        <w:commentReference w:id="21"/>
      </w:r>
      <w:r w:rsidR="006B1091">
        <w:t xml:space="preserve">IBD analyses </w:t>
      </w:r>
      <w:r w:rsidR="00927A67">
        <w:t>support the conclusions drawn from structure analyses. An extremely low IBD is detected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22"/>
      <w:r w:rsidR="006832AD">
        <w:t>currently belong to the same genetic population</w:t>
      </w:r>
      <w:commentRangeEnd w:id="22"/>
      <w:r w:rsidR="009E22E3">
        <w:rPr>
          <w:rStyle w:val="CommentReference"/>
        </w:rPr>
        <w:commentReference w:id="22"/>
      </w:r>
      <w:r w:rsidR="006832AD">
        <w:t>.</w:t>
      </w:r>
    </w:p>
    <w:p w14:paraId="014BF1CF" w14:textId="0A091010" w:rsidR="003B2190" w:rsidRPr="00B152AD" w:rsidRDefault="003B2190" w:rsidP="003B2190">
      <w:pPr>
        <w:rPr>
          <w:lang w:val="en-GB"/>
        </w:rPr>
      </w:pPr>
      <w:r>
        <w:rPr>
          <w:lang w:val="en-GB"/>
        </w:rPr>
        <w:t>Previous studies highlighted that isolation by environmental distance can occur in the absence of isolation by geographical distance or by resistance (</w:t>
      </w:r>
      <w:commentRangeStart w:id="23"/>
      <w:r>
        <w:rPr>
          <w:lang w:val="en-GB"/>
        </w:rPr>
        <w:t>Glück et al. 2005</w:t>
      </w:r>
      <w:commentRangeEnd w:id="23"/>
      <w:r>
        <w:rPr>
          <w:rStyle w:val="CommentReference"/>
        </w:rPr>
        <w:commentReference w:id="23"/>
      </w:r>
      <w:r>
        <w:rPr>
          <w:lang w:val="en-GB"/>
        </w:rPr>
        <w:t>). Glück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Bombus terrestris</w:t>
      </w:r>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w:t>
      </w:r>
      <w:r>
        <w:rPr>
          <w:lang w:val="en-GB"/>
        </w:rPr>
        <w:lastRenderedPageBreak/>
        <w:t xml:space="preserve">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457CBA9"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r w:rsidR="00970970">
        <w:t xml:space="preserve">|  </w:t>
      </w:r>
      <w:r w:rsidR="00970970" w:rsidRPr="00D02D82">
        <w:t xml:space="preserve">Methodological </w:t>
      </w:r>
      <w:r w:rsidR="00970970">
        <w:t>limits</w:t>
      </w:r>
      <w:r w:rsidR="00970970" w:rsidRPr="00D02D82">
        <w:t xml:space="preserve"> and future directions</w:t>
      </w:r>
    </w:p>
    <w:p w14:paraId="6C7FD345" w14:textId="78907CED" w:rsidR="00F4178A" w:rsidRDefault="00DB1C7F" w:rsidP="00970970">
      <w:pPr>
        <w:rPr>
          <w:iCs/>
        </w:rPr>
      </w:pPr>
      <w:commentRangeStart w:id="24"/>
      <w:r>
        <w:t xml:space="preserve">Detecting genetic structure is rarely a straightforward endeavor and there a known limits to certain approaches. </w:t>
      </w:r>
      <w:r w:rsidR="00970970">
        <w:t xml:space="preserve">Although STRUCTURE may perform better than DAPC in some scenarios because DAPC may be sensitive to IBD, DAPC performs well for scenarios with low IBD </w:t>
      </w:r>
      <w:r w:rsidR="00970970">
        <w:fldChar w:fldCharType="begin"/>
      </w:r>
      <w:r w:rsidR="00FC5BA6">
        <w:instrText xml:space="preserve"> ADDIN ZOTERO_ITEM CSL_CITATION {"citationID":"UoXyTRPZ","properties":{"formattedCitation":"(Blair et al., 2012)","plainCitation":"(Blair et al., 2012)","noteIndex":0},"citationItems":[{"id":13545,"uris":["http://zotero.org/users/4948104/items/IHQEHYMI"],"itemData":{"id":13545,"type":"article-journal","abstract":"Different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FC5BA6" w:rsidRPr="00FC5BA6">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FC5BA6">
        <w:instrText xml:space="preserve"> ADDIN ZOTERO_ITEM CSL_CITATION {"citationID":"kMlGhuZd","properties":{"formattedCitation":"(Janes et al., 2017)","plainCitation":"(Janes et al., 2017)","noteIndex":0},"citationItems":[{"id":13662,"uris":["http://zotero.org/users/4948104/items/8LQCIPY4"],"itemData":{"id":13662,"type":"article-journal","abstract":"Assessments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FC5BA6" w:rsidRPr="00FC5BA6">
        <w:rPr>
          <w:rFonts w:cs="Times New Roman"/>
        </w:rPr>
        <w:t>(Janes et al., 2017)</w:t>
      </w:r>
      <w:r w:rsidR="002F5CAD">
        <w:fldChar w:fldCharType="end"/>
      </w:r>
      <w:r w:rsidR="002F5CAD">
        <w:t xml:space="preserve">, but we are confident that we lowered this bias by using more flexible parameters in our runs and by comparing outcomes </w:t>
      </w:r>
      <w:r w:rsidR="002F5CAD">
        <w:lastRenderedPageBreak/>
        <w:t>with DAPC.</w:t>
      </w:r>
      <w:r>
        <w:t xml:space="preserve"> </w:t>
      </w:r>
      <w:r w:rsidR="00FA1914">
        <w:t>The somewhat intriguing pattern displayed in the</w:t>
      </w:r>
      <w:r>
        <w:t xml:space="preserve"> DAPC</w:t>
      </w:r>
      <w:r w:rsidR="00FA1914">
        <w:t xml:space="preserve"> scatterplot for </w:t>
      </w:r>
      <w:r w:rsidR="00FA1914">
        <w:rPr>
          <w:i/>
          <w:iCs/>
        </w:rPr>
        <w:t>S. pipiens</w:t>
      </w:r>
      <w:r w:rsidR="00FA1914">
        <w:t xml:space="preserve"> disappeared when dropping other alleles. Because the structure is so low, only a few alleles may be driving the visual grouping of some observations on the first two axes. The general conclusions about clustering were maintained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clusters, notably for </w:t>
      </w:r>
      <w:r>
        <w:rPr>
          <w:i/>
        </w:rPr>
        <w:t>S. pipiens</w:t>
      </w:r>
      <w:r>
        <w:rPr>
          <w:iCs/>
        </w:rPr>
        <w:t xml:space="preserve"> (Sup. Fig. 1). Such a situation where STRUCTURE selects fewer clusters than DAPC has been described for other pollinators </w:t>
      </w:r>
      <w:r>
        <w:rPr>
          <w:iCs/>
        </w:rPr>
        <w:fldChar w:fldCharType="begin"/>
      </w:r>
      <w:r w:rsidR="00FC5BA6">
        <w:rPr>
          <w:iCs/>
        </w:rPr>
        <w:instrText xml:space="preserve"> ADDIN ZOTERO_ITEM CSL_CITATION {"citationID":"Edqlcyn2","properties":{"formattedCitation":"(Frantine-Silva et al., 2021; Gl\\uc0\\u252{}ck et al., 2022)","plainCitation":"(Frantine-Silva et al., 2021; Glück et al., 2022)","noteIndex":0},"citationItems":[{"id":13661,"uris":["http://zotero.org/users/4948104/items/99FAYUIB"],"itemData":{"id":13661,"type":"article-journal","abstract":"Based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00FC5BA6" w:rsidRPr="00FC5BA6">
        <w:rPr>
          <w:rFonts w:cs="Times New Roman"/>
          <w:szCs w:val="24"/>
        </w:rPr>
        <w:t>(Frantine-Silva et al., 2021; Glück et al., 2022)</w:t>
      </w:r>
      <w:r>
        <w:rPr>
          <w:iCs/>
        </w:rPr>
        <w:fldChar w:fldCharType="end"/>
      </w:r>
      <w:r>
        <w:rPr>
          <w:iCs/>
        </w:rPr>
        <w:t>.</w:t>
      </w:r>
      <w:commentRangeEnd w:id="24"/>
      <w:r w:rsidR="002D6F2D">
        <w:rPr>
          <w:rStyle w:val="CommentReference"/>
        </w:rPr>
        <w:commentReference w:id="24"/>
      </w:r>
    </w:p>
    <w:p w14:paraId="27CFA492" w14:textId="09C96B05" w:rsidR="006C2DDA" w:rsidRPr="006C2DDA" w:rsidRDefault="00EB4792" w:rsidP="00970970">
      <w:pPr>
        <w:rPr>
          <w:iCs/>
          <w:color w:val="FF0000"/>
        </w:rPr>
      </w:pPr>
      <w:r w:rsidRPr="00722F11">
        <w:rPr>
          <w:iCs/>
        </w:rPr>
        <w:t xml:space="preserve">Another potential </w:t>
      </w:r>
      <w:r w:rsidR="00722F11" w:rsidRPr="00722F11">
        <w:rPr>
          <w:iCs/>
        </w:rPr>
        <w:t>methodological limit</w:t>
      </w:r>
      <w:r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r w:rsidR="00DE7D58">
        <w:t>|  Implications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For example, there could be high mortality rates in some urban or peri-</w:t>
      </w:r>
      <w:r>
        <w:lastRenderedPageBreak/>
        <w:t xml:space="preserve">urban agricultural </w:t>
      </w:r>
      <w:r w:rsidR="00EE29EB">
        <w:t xml:space="preserve">habitats, which </w:t>
      </w:r>
      <w:r>
        <w:t xml:space="preserve">would likely lower population density and </w:t>
      </w:r>
      <w:commentRangeStart w:id="25"/>
      <w:r>
        <w:t>genetic diversity</w:t>
      </w:r>
      <w:r w:rsidR="00EE29EB">
        <w:t xml:space="preserve"> </w:t>
      </w:r>
      <w:commentRangeEnd w:id="25"/>
      <w:r w:rsidR="00875563">
        <w:rPr>
          <w:rStyle w:val="CommentReference"/>
        </w:rPr>
        <w:commentReference w:id="25"/>
      </w:r>
      <w:r w:rsidR="00EE29EB">
        <w:t>although a large number of local dispersers could offset their genetic signal.</w:t>
      </w:r>
      <w:r>
        <w:t xml:space="preserve"> Finally, a</w:t>
      </w:r>
      <w:r w:rsidR="00682835">
        <w:t xml:space="preserve">lthough we did not </w:t>
      </w:r>
      <w:commentRangeStart w:id="26"/>
      <w:r w:rsidR="00682835">
        <w:t>find</w:t>
      </w:r>
      <w:r>
        <w:t xml:space="preserve"> c</w:t>
      </w:r>
      <w:r w:rsidR="00682835">
        <w:t xml:space="preserve">onstraints on gene flow </w:t>
      </w:r>
      <w:commentRangeEnd w:id="26"/>
      <w:r w:rsidR="00692790">
        <w:rPr>
          <w:rStyle w:val="CommentReference"/>
        </w:rPr>
        <w:commentReference w:id="26"/>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27"/>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27"/>
      <w:r w:rsidR="00692790">
        <w:rPr>
          <w:rStyle w:val="CommentReference"/>
        </w:rPr>
        <w:commentReference w:id="27"/>
      </w:r>
      <w:r w:rsidR="0020424C">
        <w:t xml:space="preserve">. The </w:t>
      </w:r>
      <w:commentRangeStart w:id="28"/>
      <w:r w:rsidR="0020424C">
        <w:t xml:space="preserve">hoverfly populations we studied could be at risk </w:t>
      </w:r>
      <w:commentRangeEnd w:id="28"/>
      <w:r w:rsidR="00875563">
        <w:rPr>
          <w:rStyle w:val="CommentReference"/>
        </w:rPr>
        <w:commentReference w:id="28"/>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0C02A89C" w:rsidR="00232AC8" w:rsidRPr="00682835" w:rsidRDefault="00232AC8" w:rsidP="00682835">
      <w:commentRangeStart w:id="29"/>
      <w:r>
        <w:t>Some introduced hoverflies</w:t>
      </w:r>
      <w:r w:rsidRPr="006577A9">
        <w:t xml:space="preserve"> c</w:t>
      </w:r>
      <w:r>
        <w:t>an</w:t>
      </w:r>
      <w:r w:rsidRPr="006577A9">
        <w:t xml:space="preserve"> potentially outcompete native species due to their high polyphagy</w:t>
      </w:r>
      <w:r>
        <w:t xml:space="preserve"> and dispersal abilities</w:t>
      </w:r>
      <w:r w:rsidR="00DB58C8">
        <w:t xml:space="preserve"> and </w:t>
      </w:r>
      <w:commentRangeEnd w:id="29"/>
      <w:r w:rsidR="00692790">
        <w:rPr>
          <w:rStyle w:val="CommentReference"/>
        </w:rPr>
        <w:commentReference w:id="29"/>
      </w:r>
      <w:r w:rsidR="00DB58C8">
        <w:t>understanding connectivity is key to understand, prevent, and mitigate their negative impacts</w:t>
      </w:r>
      <w:r>
        <w:t xml:space="preserve">. The high effective dispersal ability of </w:t>
      </w:r>
      <w:r>
        <w:rPr>
          <w:i/>
        </w:rPr>
        <w:t>M. florea</w:t>
      </w:r>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M. florea</w:t>
      </w:r>
      <w:r>
        <w:t xml:space="preserve"> has </w:t>
      </w:r>
      <w:r w:rsidR="006B529E">
        <w:t xml:space="preserve">already </w:t>
      </w:r>
      <w:r>
        <w:t xml:space="preserve">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t xml:space="preserve">. </w:t>
      </w:r>
      <w:r>
        <w:rPr>
          <w:i/>
        </w:rPr>
        <w:t>M. florea</w:t>
      </w:r>
      <w:r>
        <w:t xml:space="preserve"> were seen feeding on more than 10 species of flowers during the fieldwork for this study (Wittische, unpublished); many hoverflies are known to be highly polyphagous </w:t>
      </w:r>
      <w:r>
        <w:fldChar w:fldCharType="begin"/>
      </w:r>
      <w:r w:rsidR="00FC5BA6">
        <w:instrText xml:space="preserve"> ADDIN ZOTERO_ITEM CSL_CITATION {"citationID":"LD2r78ms","properties":{"formattedCitation":"(Branquart and Hemptinne, 2000)","plainCitation":"(Branquart and Hemptinne, 2000)","noteIndex":0},"citationItems":[{"id":13166,"uris":["http://zotero.org/users/4948104/items/4QCQKBYR"],"itemData":{"id":13166,"type":"article-journal","abstract":"Adults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00FC5BA6" w:rsidRPr="00FC5BA6">
        <w:rPr>
          <w:rFonts w:cs="Times New Roman"/>
        </w:rPr>
        <w:t>(Branquart and Hemptinne, 2000)</w:t>
      </w:r>
      <w:r>
        <w:fldChar w:fldCharType="end"/>
      </w:r>
      <w:r>
        <w:t xml:space="preserve">. Furthermore, given a similar climatic niche, widespread larval habitat, high dispersal ability and its tolerance for disturbance and urbanization suggested by our study, we expect </w:t>
      </w:r>
      <w:r>
        <w:rPr>
          <w:i/>
        </w:rPr>
        <w:t xml:space="preserve">M. </w:t>
      </w:r>
      <w:r>
        <w:rPr>
          <w:i/>
        </w:rPr>
        <w:lastRenderedPageBreak/>
        <w:t>florea</w:t>
      </w:r>
      <w:r>
        <w:t xml:space="preserve"> to spread further East in North America. </w:t>
      </w:r>
      <w:r>
        <w:rPr>
          <w:i/>
        </w:rPr>
        <w:t xml:space="preserve">Merodon </w:t>
      </w:r>
      <w:r w:rsidRPr="006809BE">
        <w:rPr>
          <w:i/>
        </w:rPr>
        <w:t>equestris</w:t>
      </w:r>
      <w:r>
        <w:t xml:space="preserve"> is a European species now present in East Asia, North America, and Oceania </w:t>
      </w:r>
      <w:r>
        <w:fldChar w:fldCharType="begin"/>
      </w:r>
      <w:r w:rsidR="00FC5BA6">
        <w:instrText xml:space="preserve"> ADDIN ZOTERO_ITEM CSL_CITATION {"citationID":"dQjxP9lB","properties":{"formattedCitation":"(Hong et al., 2012; Thompson, 2008)","plainCitation":"(Hong et al., 2012; Thompson, 2008)","noteIndex":0},"citationItems":[{"id":13584,"uris":["http://zotero.org/users/4948104/items/RZI7A9Y3"],"itemData":{"id":13584,"type":"article-journal","abstract":"The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00FC5BA6" w:rsidRPr="00FC5BA6">
        <w:rPr>
          <w:rFonts w:cs="Times New Roman"/>
        </w:rPr>
        <w:t>(Hong et al., 2012; Thompson, 2008)</w:t>
      </w:r>
      <w:r>
        <w:fldChar w:fldCharType="end"/>
      </w:r>
      <w:r>
        <w:t xml:space="preserve"> and is a major pest of daffodils. </w:t>
      </w:r>
      <w:r>
        <w:rPr>
          <w:i/>
        </w:rPr>
        <w:t>Eristalis tenax</w:t>
      </w:r>
      <w:r>
        <w:t xml:space="preserve">, another European species, is a strong competitor due to its polyphagy, strong dispersal and aggressive territorial behavior towards other pollinators </w:t>
      </w:r>
      <w:r>
        <w:fldChar w:fldCharType="begin"/>
      </w:r>
      <w:r w:rsidR="00FC5BA6">
        <w:instrText xml:space="preserve"> ADDIN ZOTERO_ITEM CSL_CITATION {"citationID":"CYI21csp","properties":{"formattedCitation":"(Wellington and Fitzpatrick, 1981)","plainCitation":"(Wellington and Fitzpatrick, 1981)","noteIndex":0},"citationItems":[{"id":13586,"uris":["http://zotero.org/users/4948104/items/637G6J6D"],"itemData":{"id":13586,"type":"article-journal","abstract":"When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00FC5BA6" w:rsidRPr="00FC5BA6">
        <w:rPr>
          <w:rFonts w:cs="Times New Roman"/>
        </w:rPr>
        <w:t>(Wellington and Fitzpatrick, 1981)</w:t>
      </w:r>
      <w:r>
        <w:fldChar w:fldCharType="end"/>
      </w:r>
      <w:r>
        <w:t xml:space="preserve">. </w:t>
      </w:r>
      <w:r>
        <w:rPr>
          <w:i/>
        </w:rPr>
        <w:t xml:space="preserve">E. tenax </w:t>
      </w:r>
      <w:r>
        <w:t xml:space="preserve">has spread through North America and New Zealand where they reach high abundances. Finally, </w:t>
      </w:r>
      <w:r w:rsidRPr="006577A9">
        <w:rPr>
          <w:i/>
        </w:rPr>
        <w:t>Simosyrphus grandicornis</w:t>
      </w:r>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FC5BA6">
        <w:instrText xml:space="preserve"> ADDIN ZOTERO_ITEM CSL_CITATION {"citationID":"MxqDOSJE","properties":{"formattedCitation":"(Doyle et al., 2020)","plainCitation":"(Doyle et al., 2020)","noteIndex":0},"citationItems":[{"id":13187,"uris":["http://zotero.org/users/4948104/items/HTQGGHE6"],"itemData":{"id":13187,"type":"article-journal","abstract":"Pollinator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00FC5BA6" w:rsidRPr="00FC5BA6">
        <w:rPr>
          <w:rFonts w:cs="Times New Roman"/>
        </w:rPr>
        <w:t>(Doyle et al., 2020)</w:t>
      </w:r>
      <w:r>
        <w:fldChar w:fldCharType="end"/>
      </w:r>
      <w:r>
        <w:t>, which may have affected the floral and pollinator communities. The lack of knowledge about hoverfly introductions and their 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05306C96" w14:textId="46F0AFA1" w:rsidR="00965DCE" w:rsidRPr="00B95C2C" w:rsidRDefault="00B95C2C" w:rsidP="006F501D">
      <w:r w:rsidRPr="00B95C2C">
        <w:t xml:space="preserve">We thank </w:t>
      </w:r>
      <w:r w:rsidR="00375753" w:rsidRPr="00375753">
        <w:t>Balint Andrasi</w:t>
      </w:r>
      <w:r w:rsidR="00375753">
        <w:t>, Dylan Thissen,</w:t>
      </w:r>
      <w:r w:rsidR="00375753" w:rsidRPr="00375753">
        <w:t xml:space="preserve"> </w:t>
      </w:r>
      <w:r w:rsidR="00692790">
        <w:t xml:space="preserve">António </w:t>
      </w:r>
      <w:r w:rsidR="00375753">
        <w:t xml:space="preserve">Cruz,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t>
      </w:r>
      <w:commentRangeStart w:id="30"/>
      <w:r w:rsidR="00375753">
        <w:t>We thank the government of Luxembourg and Germany f</w:t>
      </w:r>
      <w:r w:rsidR="00875563">
        <w:t>or</w:t>
      </w:r>
      <w:r w:rsidR="00375753">
        <w:t xml:space="preserve"> granting us netting permits.</w:t>
      </w:r>
      <w:commentRangeEnd w:id="30"/>
      <w:r w:rsidR="00875563">
        <w:rPr>
          <w:rStyle w:val="CommentReference"/>
        </w:rPr>
        <w:commentReference w:id="30"/>
      </w:r>
    </w:p>
    <w:p w14:paraId="14BEBF68" w14:textId="77777777" w:rsidR="00965DCE" w:rsidRPr="00B34036" w:rsidRDefault="00965DCE" w:rsidP="006F501D">
      <w:pPr>
        <w:rPr>
          <w:b/>
        </w:rPr>
      </w:pPr>
    </w:p>
    <w:p w14:paraId="054A7D25" w14:textId="181335DA" w:rsidR="00F622C3" w:rsidRDefault="00965DCE" w:rsidP="00F266AA">
      <w:pPr>
        <w:pStyle w:val="Heading1"/>
        <w:numPr>
          <w:ilvl w:val="0"/>
          <w:numId w:val="0"/>
        </w:numPr>
      </w:pPr>
      <w:r>
        <w:br w:type="page"/>
      </w:r>
      <w:r w:rsidR="00F622C3">
        <w:lastRenderedPageBreak/>
        <w:t>REFERENCES</w:t>
      </w:r>
    </w:p>
    <w:p w14:paraId="4E36F372" w14:textId="77777777" w:rsidR="00FC5BA6" w:rsidRDefault="00F622C3" w:rsidP="00FC5BA6">
      <w:pPr>
        <w:pStyle w:val="Bibliography"/>
      </w:pPr>
      <w:r>
        <w:fldChar w:fldCharType="begin"/>
      </w:r>
      <w:r w:rsidR="00FC5BA6">
        <w:rPr>
          <w:lang w:val="en-GB"/>
        </w:rPr>
        <w:instrText xml:space="preserve"> ADDIN ZOTERO_BIBL {"uncited":[],"omitted":[],"custom":[]} CSL_BIBLIOGRAPHY </w:instrText>
      </w:r>
      <w:r>
        <w:fldChar w:fldCharType="separate"/>
      </w:r>
      <w:r w:rsidR="00FC5BA6">
        <w:t>Adamack, A.T., Gruber, B., 2014. PopGenReport: simplifying basic population genetic analyses in R. Methods in Ecology and Evolution 4.</w:t>
      </w:r>
    </w:p>
    <w:p w14:paraId="2D262E2A" w14:textId="77777777" w:rsidR="00FC5BA6" w:rsidRDefault="00FC5BA6" w:rsidP="00FC5BA6">
      <w:pPr>
        <w:pStyle w:val="Bibliography"/>
      </w:pPr>
      <w:r>
        <w:t>Agapow, P.M., Burt, A., 2001. Indices of multilocus linkage disequilibrium. Molecular Ecology Notes 1, 101–102. https://doi.org/10.1046/j.1471-8278.2000.00014.x</w:t>
      </w:r>
    </w:p>
    <w:p w14:paraId="2CC5BB41" w14:textId="77777777" w:rsidR="00FC5BA6" w:rsidRDefault="00FC5BA6" w:rsidP="00FC5BA6">
      <w:pPr>
        <w:pStyle w:val="Bibliography"/>
      </w:pPr>
      <w:r>
        <w:t xml:space="preserve">Aubert, J., Goeldlin de Tiefenau, P., 1981. </w:t>
      </w:r>
      <w:r w:rsidRPr="00FC5BA6">
        <w:rPr>
          <w:lang w:val="fr-FR"/>
        </w:rPr>
        <w:t xml:space="preserve">Observations sur les migrations de Syrphides (Dipt.) dans les Alpes de Suisse occidentale. </w:t>
      </w:r>
      <w:r>
        <w:t>Journal of the Swiss Entomological Society 54. https://doi.org/10.5169/SEALS-402013</w:t>
      </w:r>
    </w:p>
    <w:p w14:paraId="38AD76B8" w14:textId="77777777" w:rsidR="00FC5BA6" w:rsidRDefault="00FC5BA6" w:rsidP="00FC5BA6">
      <w:pPr>
        <w:pStyle w:val="Bibliography"/>
      </w:pPr>
      <w:r w:rsidRPr="00FC5BA6">
        <w:rPr>
          <w:lang w:val="fr-FR"/>
        </w:rPr>
        <w:t xml:space="preserve">Aubert, J., Goeldlin, P., Lyon, J.-P., 1969. Essais de marquage et de reprise d’insectes migrateurs en automne 1968. </w:t>
      </w:r>
      <w:r>
        <w:t>Journal of the Swiss Entomological Society 42. https://doi.org/10.5169/SEALS-401588</w:t>
      </w:r>
    </w:p>
    <w:p w14:paraId="71B03CF8" w14:textId="77777777" w:rsidR="00FC5BA6" w:rsidRDefault="00FC5BA6" w:rsidP="00FC5BA6">
      <w:pPr>
        <w:pStyle w:val="Bibliography"/>
      </w:pPr>
      <w:r>
        <w:t>Bickel, D., Pape, T., Meier, R. (Eds.), 2009. Diptera Diversity: Status, Challenges and Tools. Brill.</w:t>
      </w:r>
    </w:p>
    <w:p w14:paraId="111FE4EA" w14:textId="77777777" w:rsidR="00FC5BA6" w:rsidRDefault="00FC5BA6" w:rsidP="00FC5BA6">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0F9DB15D" w14:textId="77777777" w:rsidR="00FC5BA6" w:rsidRDefault="00FC5BA6" w:rsidP="00FC5BA6">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2FA9F3C9" w14:textId="77777777" w:rsidR="00FC5BA6" w:rsidRDefault="00FC5BA6" w:rsidP="00FC5BA6">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25FA25EF" w14:textId="77777777" w:rsidR="00FC5BA6" w:rsidRDefault="00FC5BA6" w:rsidP="00FC5BA6">
      <w:pPr>
        <w:pStyle w:val="Bibliography"/>
      </w:pPr>
      <w:r>
        <w:t>Bowler, D.E., Benton, T.G., 2005. Causes and consequences of animal dispersal strategies: relating individual behaviour to spatial dynamics. Biological Reviews 80, 205–225. https://doi.org/10.1017/S1464793104006645</w:t>
      </w:r>
    </w:p>
    <w:p w14:paraId="088E1958" w14:textId="77777777" w:rsidR="00FC5BA6" w:rsidRDefault="00FC5BA6" w:rsidP="00FC5BA6">
      <w:pPr>
        <w:pStyle w:val="Bibliography"/>
      </w:pPr>
      <w:r>
        <w:t>Branquart, E., Hemptinne, J.-L., 2000. Selectivity in the exploitation of floral resources by hoverflies (Diptera: Syrphinae). Ecography 23, 732–742. https://doi.org/10.1111/j.1600-0587.2000.tb00316.x</w:t>
      </w:r>
    </w:p>
    <w:p w14:paraId="4E6EFE70" w14:textId="77777777" w:rsidR="00FC5BA6" w:rsidRDefault="00FC5BA6" w:rsidP="00FC5BA6">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1323F4BE" w14:textId="77777777" w:rsidR="00FC5BA6" w:rsidRDefault="00FC5BA6" w:rsidP="00FC5BA6">
      <w:pPr>
        <w:pStyle w:val="Bibliography"/>
      </w:pPr>
      <w:r>
        <w:t>Brookfield, J.F.Y., 1996. A simple new method for estimating null allele frequency from heterozygote deficiency. Molecular Ecology 5, 453–455.</w:t>
      </w:r>
    </w:p>
    <w:p w14:paraId="6570DFA2" w14:textId="77777777" w:rsidR="00FC5BA6" w:rsidRDefault="00FC5BA6" w:rsidP="00FC5BA6">
      <w:pPr>
        <w:pStyle w:val="Bibliography"/>
      </w:pPr>
      <w:r>
        <w:t>Broquet, T., Petit, E.J., 2009. Molecular Estimation of Dispersal for Ecology and Population Genetics. Annual Review of Ecology, Evolution, and Systematics 40, 193–216. https://doi.org/10.1146/annurev.ecolsys.110308.120324</w:t>
      </w:r>
    </w:p>
    <w:p w14:paraId="3640360D" w14:textId="77777777" w:rsidR="00FC5BA6" w:rsidRDefault="00FC5BA6" w:rsidP="00FC5BA6">
      <w:pPr>
        <w:pStyle w:val="Bibliography"/>
      </w:pPr>
      <w:r>
        <w:t>BugGuide, 2022. Species account - Myathropa florea.</w:t>
      </w:r>
    </w:p>
    <w:p w14:paraId="58664F49" w14:textId="77777777" w:rsidR="00FC5BA6" w:rsidRDefault="00FC5BA6" w:rsidP="00FC5BA6">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67FC970F" w14:textId="77777777" w:rsidR="00FC5BA6" w:rsidRDefault="00FC5BA6" w:rsidP="00FC5BA6">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603BF7BC" w14:textId="77777777" w:rsidR="00FC5BA6" w:rsidRDefault="00FC5BA6" w:rsidP="00FC5BA6">
      <w:pPr>
        <w:pStyle w:val="Bibliography"/>
      </w:pPr>
      <w:r>
        <w:t>Curdes, G., 1998. Urban form and innovation: The case of Cologne. Urban Morphology 2, 11–18.</w:t>
      </w:r>
    </w:p>
    <w:p w14:paraId="779BC69A" w14:textId="77777777" w:rsidR="00FC5BA6" w:rsidRDefault="00FC5BA6" w:rsidP="00FC5BA6">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2E1F03F3" w14:textId="77777777" w:rsidR="00FC5BA6" w:rsidRDefault="00FC5BA6" w:rsidP="00FC5BA6">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76E73A72" w14:textId="77777777" w:rsidR="00FC5BA6" w:rsidRDefault="00FC5BA6" w:rsidP="00FC5BA6">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1FBA17F5" w14:textId="77777777" w:rsidR="00FC5BA6" w:rsidRDefault="00FC5BA6" w:rsidP="00FC5BA6">
      <w:pPr>
        <w:pStyle w:val="Bibliography"/>
      </w:pPr>
      <w:r>
        <w:t>Doyle, T., Hawkes, W.L.S., Massy, R., Powney, G.D., Menz, M.H.M., Wotton, K.R., 2020. Pollination by hoverflies in the Anthropocene. Proceedings of the Royal Society B: Biological Sciences 287, 20200508. https://doi.org/10.1098/rspb.2020.0508</w:t>
      </w:r>
    </w:p>
    <w:p w14:paraId="4135E540" w14:textId="77777777" w:rsidR="00FC5BA6" w:rsidRDefault="00FC5BA6" w:rsidP="00FC5BA6">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4BA89A85" w14:textId="77777777" w:rsidR="00FC5BA6" w:rsidRDefault="00FC5BA6" w:rsidP="00FC5BA6">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1E3CCB17" w14:textId="77777777" w:rsidR="00FC5BA6" w:rsidRDefault="00FC5BA6" w:rsidP="00FC5BA6">
      <w:pPr>
        <w:pStyle w:val="Bibliography"/>
      </w:pPr>
      <w:r>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1D4804FA" w14:textId="77777777" w:rsidR="00FC5BA6" w:rsidRDefault="00FC5BA6" w:rsidP="00FC5BA6">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EF3B991" w14:textId="77777777" w:rsidR="00FC5BA6" w:rsidRDefault="00FC5BA6" w:rsidP="00FC5BA6">
      <w:pPr>
        <w:pStyle w:val="Bibliography"/>
      </w:pPr>
      <w:r>
        <w:t>Gallai, N., Salles, J.-M., Settele, J., Vaissière, B.E., 2009. Economic valuation of the vulnerability of world agriculture confronted with pollinator decline. Ecological Economics 68, 810–821. https://doi.org/10.1016/j.ecolecon.2008.06.014</w:t>
      </w:r>
    </w:p>
    <w:p w14:paraId="1722EC36" w14:textId="77777777" w:rsidR="00FC5BA6" w:rsidRDefault="00FC5BA6" w:rsidP="00FC5BA6">
      <w:pPr>
        <w:pStyle w:val="Bibliography"/>
      </w:pPr>
      <w:r>
        <w:t xml:space="preserve">Gao, B., Wotton, K.R., Hawkes, </w:t>
      </w:r>
      <w:r>
        <w:lastRenderedPageBreak/>
        <w:t>W.L.S., Menz, M.H.M., Reynolds, D.R., Zhai, B.-P., Hu, G., Chapman, J.W., 2020. Adaptive strategies of high-flying migratory hoverflies in response to wind currents. Proceedings of the Royal Society B: Biological Sciences 287, 20200406. https://doi.org/10.1098/rspb.2020.0406</w:t>
      </w:r>
    </w:p>
    <w:p w14:paraId="31CC82E6" w14:textId="77777777" w:rsidR="00FC5BA6" w:rsidRDefault="00FC5BA6" w:rsidP="00FC5BA6">
      <w:pPr>
        <w:pStyle w:val="Bibliography"/>
      </w:pPr>
      <w:r w:rsidRPr="00FC5BA6">
        <w:rPr>
          <w:lang w:val="fr-FR"/>
        </w:rPr>
        <w:t xml:space="preserve">Gauffre, B., Estoup, A., Bretagnolle, V., Cosson, J.F., 2008. </w:t>
      </w:r>
      <w:r>
        <w:t>Spatial genetic structure of a small rodent in a heterogeneous landscape. Molecular Ecology 17, 4619–4629. https://doi.org/10.1111/j.1365-294X.2008.03950.x</w:t>
      </w:r>
    </w:p>
    <w:p w14:paraId="0DC67CA3" w14:textId="77777777" w:rsidR="00FC5BA6" w:rsidRDefault="00FC5BA6" w:rsidP="00FC5BA6">
      <w:pPr>
        <w:pStyle w:val="Bibliography"/>
      </w:pPr>
      <w:r>
        <w:t>GBIF.org, 2022. Occurrence Download - Myathropa florea - North America (05 September 2022) https://doi.org/10.15468/dl.ctqqr2.</w:t>
      </w:r>
    </w:p>
    <w:p w14:paraId="12A82CD8" w14:textId="77777777" w:rsidR="00FC5BA6" w:rsidRDefault="00FC5BA6" w:rsidP="00FC5BA6">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58CD13B6" w14:textId="77777777" w:rsidR="00FC5BA6" w:rsidRDefault="00FC5BA6" w:rsidP="00FC5BA6">
      <w:pPr>
        <w:pStyle w:val="Bibliography"/>
      </w:pPr>
      <w:r>
        <w:t>Glück, M., Geue, J.C., Thomassen, H.A., 2022. Environmental differences explain subtle yet detectable genetic structure in a widespread pollinator. BMC Ecol Evo 22, 8. https://doi.org/10.1186/s12862-022-01963-5</w:t>
      </w:r>
    </w:p>
    <w:p w14:paraId="4E7A24A1" w14:textId="77777777" w:rsidR="00FC5BA6" w:rsidRDefault="00FC5BA6" w:rsidP="00FC5BA6">
      <w:pPr>
        <w:pStyle w:val="Bibliography"/>
      </w:pPr>
      <w:r>
        <w:t>Greenleaf, S.S., Williams, N.M., Winfree, R., Kremen, C., 2007. Bee foraging ranges and their relationship to body size. Oecologia 153, 589–596. https://doi.org/10.1007/s00442-007-0752-9</w:t>
      </w:r>
    </w:p>
    <w:p w14:paraId="3EDC0377" w14:textId="77777777" w:rsidR="00FC5BA6" w:rsidRDefault="00FC5BA6" w:rsidP="00FC5BA6">
      <w:pPr>
        <w:pStyle w:val="Bibliography"/>
      </w:pPr>
      <w:r>
        <w:t>Guo, S.W., Thompson, E.A., 1992. Performing the exact test of Hardy-Weinberg proportion for multiple alleles. Biometrics 48, 361–372.</w:t>
      </w:r>
    </w:p>
    <w:p w14:paraId="197DB0F1" w14:textId="77777777" w:rsidR="00FC5BA6" w:rsidRDefault="00FC5BA6" w:rsidP="00FC5BA6">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05F9D6AF" w14:textId="77777777" w:rsidR="00FC5BA6" w:rsidRDefault="00FC5BA6" w:rsidP="00FC5BA6">
      <w:pPr>
        <w:pStyle w:val="Bibliography"/>
      </w:pPr>
      <w:r w:rsidRPr="00FC5BA6">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5CADB5D7" w14:textId="77777777" w:rsidR="00FC5BA6" w:rsidRDefault="00FC5BA6" w:rsidP="00FC5BA6">
      <w:pPr>
        <w:pStyle w:val="Bibliography"/>
      </w:pPr>
      <w:r>
        <w:t>Hodgkiss, D., Brown, M.J.F., Fountain, M.T., 2018. Syrphine hoverflies are effective pollinators of commercial strawberry. Journal of Pollination Ecology 22, 55–66. https://doi.org/10.26786/1920-7603(2018)five</w:t>
      </w:r>
    </w:p>
    <w:p w14:paraId="0F25D0C6" w14:textId="77777777" w:rsidR="00FC5BA6" w:rsidRDefault="00FC5BA6" w:rsidP="00FC5BA6">
      <w:pPr>
        <w:pStyle w:val="Bibliography"/>
      </w:pPr>
      <w:r>
        <w:t>Hong, K.-J., Lee, J.-H., Lee, G.-S., Lee, S., 2012. The status quo of invasive alien insect species and plant quarantine in Korea. Journal of Asia-Pacific Entomology 15, 521–532. https://doi.org/10.1016/j.aspen.2012.06.003</w:t>
      </w:r>
    </w:p>
    <w:p w14:paraId="38C70356" w14:textId="77777777" w:rsidR="00FC5BA6" w:rsidRDefault="00FC5BA6" w:rsidP="00FC5BA6">
      <w:pPr>
        <w:pStyle w:val="Bibliography"/>
      </w:pPr>
      <w:r>
        <w:t>Jaeger, J.A.G., Soukup, T., Schwick, C., Madriñán, L.F., Kienast, F., 2016. Landscape Fragmentation in Europe, in: European Landscape Dynamics. CRC press, Boca Raton, Florida, USA, p. 42.</w:t>
      </w:r>
    </w:p>
    <w:p w14:paraId="45D7D80D" w14:textId="77777777" w:rsidR="00FC5BA6" w:rsidRDefault="00FC5BA6" w:rsidP="00FC5BA6">
      <w:pPr>
        <w:pStyle w:val="Bibliography"/>
      </w:pPr>
      <w:r>
        <w:t>Janes, J.K., Miller, J.M., Dupuis, J.R., Malenfant, R.M., Gorrell, J.C., Cullingham, C.I., Andrew, R.L., 2017. The K = 2 conundrum. Molecular Ecology 26, 3594–3602. https://doi.org/10.1111/mec.14187</w:t>
      </w:r>
    </w:p>
    <w:p w14:paraId="04885473" w14:textId="77777777" w:rsidR="00FC5BA6" w:rsidRDefault="00FC5BA6" w:rsidP="00FC5BA6">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7D1C7E90" w14:textId="77777777" w:rsidR="00FC5BA6" w:rsidRDefault="00FC5BA6" w:rsidP="00FC5BA6">
      <w:pPr>
        <w:pStyle w:val="Bibliography"/>
      </w:pPr>
      <w:r>
        <w:t>Jauker, F., Jauker, B., Grass, I., Steffan-De</w:t>
      </w:r>
      <w:r>
        <w:lastRenderedPageBreak/>
        <w:t>wenter, I., Wolters, V., 2019. Partitioning wild bee and hoverfly contributions to plant–pollinator network structure in fragmented habitats. Ecology 100, e02569. https://doi.org/10.1002/ecy.2569</w:t>
      </w:r>
    </w:p>
    <w:p w14:paraId="493062C2" w14:textId="77777777" w:rsidR="00FC5BA6" w:rsidRDefault="00FC5BA6" w:rsidP="00FC5BA6">
      <w:pPr>
        <w:pStyle w:val="Bibliography"/>
      </w:pPr>
      <w:r>
        <w:t>Jha, S., Kremen, C., 2013. Urban land use limits regional bumble bee gene flow. Molecular Ecology 22, 2483–2495. https://doi.org/10.1111/mec.12275</w:t>
      </w:r>
    </w:p>
    <w:p w14:paraId="60497D79" w14:textId="77777777" w:rsidR="00FC5BA6" w:rsidRDefault="00FC5BA6" w:rsidP="00FC5BA6">
      <w:pPr>
        <w:pStyle w:val="Bibliography"/>
      </w:pPr>
      <w:r>
        <w:t>Jia, H., Liu, Y., Li, X., Li, H., Pan, Y., Hu, C., Zhou, X., Wyckhuys, K.A., Wu, K., 2022. Windborne migration amplifies insect-mediated pollination services. eLife 11, e76230. https://doi.org/10.7554/eLife.76230</w:t>
      </w:r>
    </w:p>
    <w:p w14:paraId="7E5F725B" w14:textId="77777777" w:rsidR="00FC5BA6" w:rsidRDefault="00FC5BA6" w:rsidP="00FC5BA6">
      <w:pPr>
        <w:pStyle w:val="Bibliography"/>
      </w:pPr>
      <w:r>
        <w:t>Jombart, T., 2008. Adegenet: A R package for the multivariate analysis of genetic markers. Bioinformatics 24, 1403–1405. https://doi.org/10.1093/bioinformatics/btn129</w:t>
      </w:r>
    </w:p>
    <w:p w14:paraId="2EB30060" w14:textId="77777777" w:rsidR="00FC5BA6" w:rsidRDefault="00FC5BA6" w:rsidP="00FC5BA6">
      <w:pPr>
        <w:pStyle w:val="Bibliography"/>
      </w:pPr>
      <w:r>
        <w:t>Jombart, T., Ahmed, I., 2011. adegenet 1.3-1: New tools for the analysis of genome-wide SNP data. Bioinformatics 27, 3070–3071. https://doi.org/10.1093/bioinformatics/btr521</w:t>
      </w:r>
    </w:p>
    <w:p w14:paraId="24222B55" w14:textId="77777777" w:rsidR="00FC5BA6" w:rsidRDefault="00FC5BA6" w:rsidP="00FC5BA6">
      <w:pPr>
        <w:pStyle w:val="Bibliography"/>
      </w:pPr>
      <w:r>
        <w:t>Jombart, T., Collins, C., 2022. A tutorial for Discriminant Analysis of Principal Components (DAPC) using adegenet 2.1.6.</w:t>
      </w:r>
    </w:p>
    <w:p w14:paraId="4DE52828" w14:textId="77777777" w:rsidR="00FC5BA6" w:rsidRDefault="00FC5BA6" w:rsidP="00FC5BA6">
      <w:pPr>
        <w:pStyle w:val="Bibliography"/>
      </w:pPr>
      <w:r w:rsidRPr="00FC5BA6">
        <w:rPr>
          <w:lang w:val="fr-FR"/>
        </w:rPr>
        <w:t xml:space="preserve">Jombart, T., Devillard, S., Balloux, F., 2010. </w:t>
      </w:r>
      <w:r>
        <w:t>Discriminant analysis of principal components: a new method for the analysis of genetically structured populations. BMC genetics 11, 94. https://doi.org/10.1186/1471-2156-11-94</w:t>
      </w:r>
    </w:p>
    <w:p w14:paraId="6B425CEC" w14:textId="77777777" w:rsidR="00FC5BA6" w:rsidRDefault="00FC5BA6" w:rsidP="00FC5BA6">
      <w:pPr>
        <w:pStyle w:val="Bibliography"/>
      </w:pPr>
      <w:r>
        <w:t>Jombart, T., Pontier, D., Dufour,  a-B., 2009. Genetic markers in the playground of multivariate analysis. Heredity 102, 330–341. https://doi.org/10.1038/hdy.2008.130</w:t>
      </w:r>
    </w:p>
    <w:p w14:paraId="6BF3B421" w14:textId="77777777" w:rsidR="00FC5BA6" w:rsidRPr="00FC5BA6" w:rsidRDefault="00FC5BA6" w:rsidP="00FC5BA6">
      <w:pPr>
        <w:pStyle w:val="Bibliography"/>
        <w:rPr>
          <w:lang w:val="de-LU"/>
        </w:rPr>
      </w:pPr>
      <w:r>
        <w:t xml:space="preserve">Kamvar, Z.N., Tabima, J.F., Gr̈unwald, N.J., 2014. Poppr: An R package for genetic analysis of populations with clonal, partially clonal, and/or sexual reproduction. </w:t>
      </w:r>
      <w:r w:rsidRPr="00FC5BA6">
        <w:rPr>
          <w:lang w:val="de-LU"/>
        </w:rPr>
        <w:t>PeerJ 2014, 1–14. https://doi.org/10.7717/peerj.281</w:t>
      </w:r>
    </w:p>
    <w:p w14:paraId="7F52537D" w14:textId="77777777" w:rsidR="00FC5BA6" w:rsidRDefault="00FC5BA6" w:rsidP="00FC5BA6">
      <w:pPr>
        <w:pStyle w:val="Bibliography"/>
      </w:pPr>
      <w:r w:rsidRPr="00FC5BA6">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1459EC35" w14:textId="77777777" w:rsidR="00FC5BA6" w:rsidRDefault="00FC5BA6" w:rsidP="00FC5BA6">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58C7623A" w14:textId="77777777" w:rsidR="00FC5BA6" w:rsidRDefault="00FC5BA6" w:rsidP="00FC5BA6">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4103504" w14:textId="77777777" w:rsidR="00FC5BA6" w:rsidRDefault="00FC5BA6" w:rsidP="00FC5BA6">
      <w:pPr>
        <w:pStyle w:val="Bibliography"/>
      </w:pPr>
      <w:r>
        <w:t>Landguth, E.L., Fedy, B.C., OYLER-McCANCE, S.J., Garey, A.L., Emel, S.L., Mumma, M., Wagner, H.H., Fortin, M.-J., Cushman, S.A., 2012. Effects of sample size, number of markers, and allelic richness on the detection of spatial genetic pattern. Molecular Ecology Resources 12, 276–284. https://doi.org/10.1111/j.1755-0998.2011.03077.x</w:t>
      </w:r>
    </w:p>
    <w:p w14:paraId="2CCED483" w14:textId="77777777" w:rsidR="00FC5BA6" w:rsidRDefault="00FC5BA6" w:rsidP="00FC5BA6">
      <w:pPr>
        <w:pStyle w:val="Bibliography"/>
      </w:pPr>
      <w:r>
        <w:t>Legendre, P., Legendre, L., 2012. Numerical Ecology. Elsevier, Amsterdam, Netherlands.</w:t>
      </w:r>
    </w:p>
    <w:p w14:paraId="15BB7B63" w14:textId="77777777" w:rsidR="00FC5BA6" w:rsidRDefault="00FC5BA6" w:rsidP="00FC5BA6">
      <w:pPr>
        <w:pStyle w:val="Bibliography"/>
      </w:pPr>
      <w:r w:rsidRPr="00FC5BA6">
        <w:rPr>
          <w:lang w:val="de-LU"/>
        </w:rPr>
        <w:t xml:space="preserve">Leopold, J., Schöne, M., Cölln, K., 1996. Zur Kenntis der Schwebfliegen (Diptera, Syrphidae) der Stadt Köln und ihrer Randgebiete. </w:t>
      </w:r>
      <w:r>
        <w:t>Decheniana - Beihefte (Bonn) 35, 433–458.</w:t>
      </w:r>
    </w:p>
    <w:p w14:paraId="5479379E" w14:textId="77777777" w:rsidR="00FC5BA6" w:rsidRDefault="00FC5BA6" w:rsidP="00FC5BA6">
      <w:pPr>
        <w:pStyle w:val="Bibliography"/>
      </w:pPr>
      <w:r>
        <w:t>Loiselle, B. a, Sork, V.L., Nason, J., Graham, C., 1995. Spatial Genetic Structure of a Tropical Understory Shrub. American Journal of Botany 82, 1420–1425.</w:t>
      </w:r>
    </w:p>
    <w:p w14:paraId="49577A25" w14:textId="77777777" w:rsidR="00FC5BA6" w:rsidRDefault="00FC5BA6" w:rsidP="00FC5BA6">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3BF5BDCD" w14:textId="77777777" w:rsidR="00FC5BA6" w:rsidRDefault="00FC5BA6" w:rsidP="00FC5BA6">
      <w:pPr>
        <w:pStyle w:val="Bibliography"/>
      </w:pPr>
      <w:r>
        <w:t>Lozier, J.D., Strange, J.P., Stewart, I.J., Cameron, S.A., 2011. Patterns of range-wide genetic variation in six North American bumble bee (Apidae: Bombus) species. Molec</w:t>
      </w:r>
      <w:r>
        <w:lastRenderedPageBreak/>
        <w:t>ular Ecology 20, 4870–4888. https://doi.org/10.1111/j.1365-294X.2011.05314.x</w:t>
      </w:r>
    </w:p>
    <w:p w14:paraId="5D7F2B93" w14:textId="77777777" w:rsidR="00FC5BA6" w:rsidRDefault="00FC5BA6" w:rsidP="00FC5BA6">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72B798E4" w14:textId="77777777" w:rsidR="00FC5BA6" w:rsidRDefault="00FC5BA6" w:rsidP="00FC5BA6">
      <w:pPr>
        <w:pStyle w:val="Bibliography"/>
      </w:pPr>
      <w:r>
        <w:t>Mantel, N., 1967. Cancer research. Mantel 27, 34.</w:t>
      </w:r>
    </w:p>
    <w:p w14:paraId="087151A7" w14:textId="77777777" w:rsidR="00FC5BA6" w:rsidRDefault="00FC5BA6" w:rsidP="00FC5BA6">
      <w:pPr>
        <w:pStyle w:val="Bibliography"/>
      </w:pPr>
      <w:r>
        <w:t>Menz, M.H.M., Reynolds, D.R., Gao, B., Hu, G., Chapman, J.W., Wotton, K.R., 2019. Mechanisms and Consequences of Partial Migration in Insects. Frontiers in Ecology and Evolution 7.</w:t>
      </w:r>
    </w:p>
    <w:p w14:paraId="7E5619A7" w14:textId="77777777" w:rsidR="00FC5BA6" w:rsidRPr="00FC5BA6" w:rsidRDefault="00FC5BA6" w:rsidP="00FC5BA6">
      <w:pPr>
        <w:pStyle w:val="Bibliography"/>
        <w:rPr>
          <w:lang w:val="fr-FR"/>
        </w:rPr>
      </w:pPr>
      <w:r>
        <w:t xml:space="preserve">Miller, S.A., Dykes, D.D., Polesky, H.F., 1988. A simple salting out procedure for extracting DNA from human nucleated cells. </w:t>
      </w:r>
      <w:r w:rsidRPr="00FC5BA6">
        <w:rPr>
          <w:lang w:val="fr-FR"/>
        </w:rPr>
        <w:t>Nucleic Acids Res 16, 1215.</w:t>
      </w:r>
    </w:p>
    <w:p w14:paraId="48231F64" w14:textId="77777777" w:rsidR="00FC5BA6" w:rsidRPr="00FC5BA6" w:rsidRDefault="00FC5BA6" w:rsidP="00FC5BA6">
      <w:pPr>
        <w:pStyle w:val="Bibliography"/>
        <w:rPr>
          <w:lang w:val="fr-FR"/>
        </w:rPr>
      </w:pPr>
      <w:r w:rsidRPr="00FC5BA6">
        <w:rPr>
          <w:lang w:val="fr-FR"/>
        </w:rPr>
        <w:t>Ministère de l’Environnement, du Climat et du Développement durable, 2022. Plan Pollinisateurs Luxembourg [WWW Document]. Plan Pollinisateurs. URL https://www.planpollinisateurs.lu (accessed 9.16.22).</w:t>
      </w:r>
    </w:p>
    <w:p w14:paraId="067825C2" w14:textId="77777777" w:rsidR="00FC5BA6" w:rsidRDefault="00FC5BA6" w:rsidP="00FC5BA6">
      <w:pPr>
        <w:pStyle w:val="Bibliography"/>
      </w:pPr>
      <w:r w:rsidRPr="00FC5BA6">
        <w:rPr>
          <w:lang w:val="fr-FR"/>
        </w:rPr>
        <w:t xml:space="preserve">Miranda, G.F.G., Young, A.D., Locke, M.M., Marshall, S.A., Skevington, J.H., Thompson, F.C., 2013. </w:t>
      </w:r>
      <w:r>
        <w:t>Key to the Genera of Nearctic Syrphidae. CJAI 23.</w:t>
      </w:r>
    </w:p>
    <w:p w14:paraId="4A4D4291" w14:textId="77777777" w:rsidR="00FC5BA6" w:rsidRPr="00FC5BA6" w:rsidRDefault="00FC5BA6" w:rsidP="00FC5BA6">
      <w:pPr>
        <w:pStyle w:val="Bibliography"/>
        <w:rPr>
          <w:lang w:val="fr-FR"/>
        </w:rPr>
      </w:pPr>
      <w:r>
        <w:t xml:space="preserve">Mitter, H., Weber, G., 2011. Green Belt(s)—a Challenge for Urban Policy of Expanding Cities. </w:t>
      </w:r>
      <w:r w:rsidRPr="00FC5BA6">
        <w:rPr>
          <w:lang w:val="fr-FR"/>
        </w:rPr>
        <w:t>Regions Magazine 282, 18–20. https://doi.org/10.1080/13673882.2011.9697692</w:t>
      </w:r>
    </w:p>
    <w:p w14:paraId="10FF8C45" w14:textId="77777777" w:rsidR="00FC5BA6" w:rsidRDefault="00FC5BA6" w:rsidP="00FC5BA6">
      <w:pPr>
        <w:pStyle w:val="Bibliography"/>
      </w:pPr>
      <w:r w:rsidRPr="00FC5BA6">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36B4F381" w14:textId="77777777" w:rsidR="00FC5BA6" w:rsidRDefault="00FC5BA6" w:rsidP="00FC5BA6">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56EE7DCB" w14:textId="77777777" w:rsidR="00FC5BA6" w:rsidRDefault="00FC5BA6" w:rsidP="00FC5BA6">
      <w:pPr>
        <w:pStyle w:val="Bibliography"/>
      </w:pPr>
      <w:r>
        <w:t>Ollerton, J., 2017. Pollinator Diversity: Distribution, Ecological Function, and Conservation. Annual Review of Ecology, Evolution, and Systematics 48, 353–376. https://doi.org/10.1146/annurev-ecolsys-110316-022919</w:t>
      </w:r>
    </w:p>
    <w:p w14:paraId="165CBE19" w14:textId="77777777" w:rsidR="00FC5BA6" w:rsidRDefault="00FC5BA6" w:rsidP="00FC5BA6">
      <w:pPr>
        <w:pStyle w:val="Bibliography"/>
      </w:pPr>
      <w:r>
        <w:t>Ollerton, J., Winfree, R., Tarrant, S., 2011. How many flowering plants are pollinated by animals? Oikos 120, 321–326. https://doi.org/10.1111/j.1600-0706.2010.18644.x</w:t>
      </w:r>
    </w:p>
    <w:p w14:paraId="7EF58764" w14:textId="77777777" w:rsidR="00FC5BA6" w:rsidRDefault="00FC5BA6" w:rsidP="00FC5BA6">
      <w:pPr>
        <w:pStyle w:val="Bibliography"/>
      </w:pPr>
      <w:r>
        <w:t>Ouin, A., Menozzi, P., Coulon, M., Hamilton, A.J., Sarthou, J.P., Tsafack, N., Vialatte, A., Ponsard, S., 2011. Can deuterium stable isotope values be used to assign the geographic origin of an auxiliary hoverfly in south-western France? Rapid Communications in Mass Spectrometry 25, 2793–2798. https://doi.org/10.1002/rcm.5127</w:t>
      </w:r>
    </w:p>
    <w:p w14:paraId="2C57FE04" w14:textId="77777777" w:rsidR="00FC5BA6" w:rsidRDefault="00FC5BA6" w:rsidP="00FC5BA6">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46B8AE81" w14:textId="77777777" w:rsidR="00FC5BA6" w:rsidRDefault="00FC5BA6" w:rsidP="00FC5BA6">
      <w:pPr>
        <w:pStyle w:val="Bibliography"/>
      </w:pPr>
      <w:r>
        <w:t>Oyler-McCance, S.J., Fedy, B.C., Landguth, E.L., 2013. Sample design effects in landscape genetics. Conserv Genet 14, 275–285. https://doi.org/10.1007/s10592-012-0415-1</w:t>
      </w:r>
    </w:p>
    <w:p w14:paraId="360B568B" w14:textId="77777777" w:rsidR="00FC5BA6" w:rsidRDefault="00FC5BA6" w:rsidP="00FC5BA6">
      <w:pPr>
        <w:pStyle w:val="Bibliography"/>
      </w:pPr>
      <w:r>
        <w:t>Paradis, E., 2010. pegas : an R package for population genetics with an integrated – modular approach 26, 419–420. https://doi.org/10.1093/bioinformatics/btp696</w:t>
      </w:r>
    </w:p>
    <w:p w14:paraId="6C03D781" w14:textId="77777777" w:rsidR="00FC5BA6" w:rsidRDefault="00FC5BA6" w:rsidP="00FC5BA6">
      <w:pPr>
        <w:pStyle w:val="Bibliography"/>
      </w:pPr>
      <w:r w:rsidRPr="00FC5BA6">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6A6F54DD" w14:textId="77777777" w:rsidR="00FC5BA6" w:rsidRPr="00FC5BA6" w:rsidRDefault="00FC5BA6" w:rsidP="00FC5BA6">
      <w:pPr>
        <w:pStyle w:val="Bibliography"/>
        <w:rPr>
          <w:lang w:val="de-LU"/>
        </w:rPr>
      </w:pPr>
      <w:r>
        <w:t>Potts, S., K., B., Bommarco, R., Breeze, T., Car</w:t>
      </w:r>
      <w:r>
        <w:lastRenderedPageBreak/>
        <w:t xml:space="preserve">valheiro, L., Franzén, M., González-Varo, J.P., A., H., Kleijn, D., Klein, A., Kunin, Lecocq, T., Lundin, O., Michez, D., Neumann, P., A., N., Penev, L., Rasmont, P., Ratamäki, O., Schweiger, O., 2015. Status and trends of European pollinators. Key findings of the STEP project. </w:t>
      </w:r>
      <w:r w:rsidRPr="00FC5BA6">
        <w:rPr>
          <w:lang w:val="de-LU"/>
        </w:rPr>
        <w:t>Pensoft Publishers, Sofia, Bulgaria.</w:t>
      </w:r>
    </w:p>
    <w:p w14:paraId="4C179CCB" w14:textId="77777777" w:rsidR="00FC5BA6" w:rsidRDefault="00FC5BA6" w:rsidP="00FC5BA6">
      <w:pPr>
        <w:pStyle w:val="Bibliography"/>
      </w:pPr>
      <w:r w:rsidRPr="00FC5BA6">
        <w:rPr>
          <w:lang w:val="de-LU"/>
        </w:rPr>
        <w:t xml:space="preserve">Potts, S.G., Biesmeijer, J.C., Kremen, C., Neumann, P., Schweiger, O., Kunin, W.E., 2010. </w:t>
      </w:r>
      <w:r>
        <w:t>Global pollinator declines: trends, impacts and drivers. Trends in Ecology &amp; Evolution 25, 345–353. https://doi.org/10.1016/j.tree.2010.01.007</w:t>
      </w:r>
    </w:p>
    <w:p w14:paraId="40E6F0E9" w14:textId="77777777" w:rsidR="00FC5BA6" w:rsidRDefault="00FC5BA6" w:rsidP="00FC5BA6">
      <w:pPr>
        <w:pStyle w:val="Bibliography"/>
      </w:pPr>
      <w:r>
        <w:t>Pritchard, J.K., Stephens, M., Donnelly, P., 2000. Inference of Population Structure Using Multilocus Genotype Data.</w:t>
      </w:r>
    </w:p>
    <w:p w14:paraId="76B4FA53" w14:textId="77777777" w:rsidR="00FC5BA6" w:rsidRDefault="00FC5BA6" w:rsidP="00FC5BA6">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17F440A2" w14:textId="77777777" w:rsidR="00FC5BA6" w:rsidRPr="00FC5BA6" w:rsidRDefault="00FC5BA6" w:rsidP="00FC5BA6">
      <w:pPr>
        <w:pStyle w:val="Bibliography"/>
        <w:rPr>
          <w:lang w:val="de-LU"/>
        </w:rPr>
      </w:pPr>
      <w:r>
        <w:t xml:space="preserve">Rands, S.A., 2014. Landscape fragmentation and pollinator movement within agricultural environments: a modelling framework for exploring foraging and movement ecology. </w:t>
      </w:r>
      <w:r w:rsidRPr="00FC5BA6">
        <w:rPr>
          <w:lang w:val="de-LU"/>
        </w:rPr>
        <w:t>PeerJ 2, e269. https://doi.org/10.7717/peerj.269</w:t>
      </w:r>
    </w:p>
    <w:p w14:paraId="106051B5" w14:textId="77777777" w:rsidR="00FC5BA6" w:rsidRDefault="00FC5BA6" w:rsidP="00FC5BA6">
      <w:pPr>
        <w:pStyle w:val="Bibliography"/>
      </w:pPr>
      <w:r w:rsidRPr="00FC5BA6">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5A2B51D6" w14:textId="77777777" w:rsidR="00FC5BA6" w:rsidRDefault="00FC5BA6" w:rsidP="00FC5BA6">
      <w:pPr>
        <w:pStyle w:val="Bibliography"/>
      </w:pPr>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Proceedings of the Royal Society B: Biological Sciences 287, 20200922. https://doi.org/10.1098/rspb.2020.0922</w:t>
      </w:r>
    </w:p>
    <w:p w14:paraId="4AEF6AB7" w14:textId="77777777" w:rsidR="00FC5BA6" w:rsidRDefault="00FC5BA6" w:rsidP="00FC5BA6">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5DDDBE81" w14:textId="77777777" w:rsidR="00FC5BA6" w:rsidRDefault="00FC5BA6" w:rsidP="00FC5BA6">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1EE23468" w14:textId="77777777" w:rsidR="00FC5BA6" w:rsidRDefault="00FC5BA6" w:rsidP="00FC5BA6">
      <w:pPr>
        <w:pStyle w:val="Bibliography"/>
      </w:pPr>
      <w:r>
        <w:t>Rotheray, G.E., 1993. Colour Guide to Hoverfly Larvae (Diptera: Syrphidae). Dipterists Digest 9.</w:t>
      </w:r>
    </w:p>
    <w:p w14:paraId="67012F94" w14:textId="77777777" w:rsidR="00FC5BA6" w:rsidRDefault="00FC5BA6" w:rsidP="00FC5BA6">
      <w:pPr>
        <w:pStyle w:val="Bibliography"/>
      </w:pPr>
      <w:r>
        <w:t>Sánchez-Bayo, F., Wyckhuys, K.A.G., 2021. Further evidence for a global decline of the entomo</w:t>
      </w:r>
      <w:r>
        <w:lastRenderedPageBreak/>
        <w:t>fauna. Austral Entomology 60, 9–26. https://doi.org/10.1111/aen.12509</w:t>
      </w:r>
    </w:p>
    <w:p w14:paraId="338B2AA4" w14:textId="77777777" w:rsidR="00FC5BA6" w:rsidRDefault="00FC5BA6" w:rsidP="00FC5BA6">
      <w:pPr>
        <w:pStyle w:val="Bibliography"/>
      </w:pPr>
      <w:r>
        <w:t>Sánchez-Bayo, F., Wyckhuys, K.A.G., 2019. Worldwide decline of the entomofauna: A review of its drivers. Biological Conservation 232, 8–27. https://doi.org/10.1016/j.biocon.2019.01.020</w:t>
      </w:r>
    </w:p>
    <w:p w14:paraId="7CEFA24D" w14:textId="77777777" w:rsidR="00FC5BA6" w:rsidRDefault="00FC5BA6" w:rsidP="00FC5BA6">
      <w:pPr>
        <w:pStyle w:val="Bibliography"/>
      </w:pPr>
      <w:r>
        <w:t>Schauer, B., Bong, J., Popp, C., Obermaier, E., Feldhaar, H., 2018. Dispersal limitation of saproxylic insects in a managed forest? A population genetics approach. Basic and Applied Ecology 32, 26–38. https://doi.org/10.1016/j.baae.2018.01.005</w:t>
      </w:r>
    </w:p>
    <w:p w14:paraId="1032642E" w14:textId="77777777" w:rsidR="00FC5BA6" w:rsidRDefault="00FC5BA6" w:rsidP="00FC5BA6">
      <w:pPr>
        <w:pStyle w:val="Bibliography"/>
      </w:pPr>
      <w:r>
        <w:t>Schwartz, M.K., McKelvey, K.S., 2009. Why sampling scheme matters: the effect of sampling scheme on landscape genetic results. Conserv Genet 10, 441–452. https://doi.org/10.1007/s10592-008-9622-1</w:t>
      </w:r>
    </w:p>
    <w:p w14:paraId="7839E417" w14:textId="77777777" w:rsidR="00FC5BA6" w:rsidRDefault="00FC5BA6" w:rsidP="00FC5BA6">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5FF04D13" w14:textId="77777777" w:rsidR="00FC5BA6" w:rsidRDefault="00FC5BA6" w:rsidP="00FC5BA6">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20C9C286" w14:textId="77777777" w:rsidR="00FC5BA6" w:rsidRDefault="00FC5BA6" w:rsidP="00FC5BA6">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7384261" w14:textId="77777777" w:rsidR="00FC5BA6" w:rsidRDefault="00FC5BA6" w:rsidP="00FC5BA6">
      <w:pPr>
        <w:pStyle w:val="Bibliography"/>
      </w:pPr>
      <w:r>
        <w:t>Speight, M.C.D., 2017. Species account of European Syrphidae, Syrph the Net, the database of European Syrphidae (Diptera). Syrph the Net publications, Dublin, Ireland.</w:t>
      </w:r>
    </w:p>
    <w:p w14:paraId="445769D1" w14:textId="77777777" w:rsidR="00FC5BA6" w:rsidRDefault="00FC5BA6" w:rsidP="00FC5BA6">
      <w:pPr>
        <w:pStyle w:val="Bibliography"/>
      </w:pPr>
      <w:r>
        <w:t>Ssymank, A., Kearns, C.A., Pape, T., Thompson, F.C., 2008. Pollinating Flies (Diptera): A major contribution to plant diversity and agricultural production. Biodiversity 9, 86–89. https://doi.org/10.1080/14888386.2008.9712892</w:t>
      </w:r>
    </w:p>
    <w:p w14:paraId="68834406" w14:textId="77777777" w:rsidR="00FC5BA6" w:rsidRDefault="00FC5BA6" w:rsidP="00FC5BA6">
      <w:pPr>
        <w:pStyle w:val="Bibliography"/>
      </w:pPr>
      <w:r>
        <w:t>Stadt Köln, 2022. Insektenschutz [WWW Document]. URL https://www.stadt-koeln.de/leben-in-koeln/klima-umwelt-tiere/insektenschutz (accessed 9.16.22).</w:t>
      </w:r>
    </w:p>
    <w:p w14:paraId="0ED596DD" w14:textId="77777777" w:rsidR="00FC5BA6" w:rsidRDefault="00FC5BA6" w:rsidP="00FC5BA6">
      <w:pPr>
        <w:pStyle w:val="Bibliography"/>
      </w:pPr>
      <w:r>
        <w:t>Steffan-Dewenter, I., Münzenberg, U., Bürger, C., Thies, C., Tscharntke, T., 2002. Scale-Dependent Effects of Landscape Context on Three Pollinator Guilds. Ecology 83, 1421–1432. https://doi.org/10.1890/0012-9658(2002)083[1421:SDEOLC]2.0.CO;2</w:t>
      </w:r>
    </w:p>
    <w:p w14:paraId="3309595A" w14:textId="77777777" w:rsidR="00FC5BA6" w:rsidRDefault="00FC5BA6" w:rsidP="00FC5BA6">
      <w:pPr>
        <w:pStyle w:val="Bibliography"/>
      </w:pPr>
      <w:r>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08B5ACF6" w14:textId="77777777" w:rsidR="00FC5BA6" w:rsidRDefault="00FC5BA6" w:rsidP="00FC5BA6">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3CB915FC" w14:textId="77777777" w:rsidR="00FC5BA6" w:rsidRDefault="00FC5BA6" w:rsidP="00FC5BA6">
      <w:pPr>
        <w:pStyle w:val="Bibliography"/>
      </w:pPr>
      <w:r>
        <w:t>Taylor, P.D., Fahrig, L., Henein, K., Merriam, G., 1993. Connectivity Is a Vital Element of Landscape Structure. Oikos 68, 571. https://doi.org/10.2307/3544927</w:t>
      </w:r>
    </w:p>
    <w:p w14:paraId="238D3C5D" w14:textId="77777777" w:rsidR="00FC5BA6" w:rsidRDefault="00FC5BA6" w:rsidP="00FC5BA6">
      <w:pPr>
        <w:pStyle w:val="Bibliography"/>
      </w:pPr>
      <w:r>
        <w:t>Theodorou, P., Radzevičiūtė, R., Lentendu, G., Kahnt, B., Husemann, M., Bleidorn, C., Settele, J., Schwei</w:t>
      </w:r>
      <w:r>
        <w:lastRenderedPageBreak/>
        <w:t>ger, O., Grosse, I., Wubet, T., Murray, T.E., Paxton, R.J., 2020. Urban areas as hotspots for bees and pollination but not a panacea for all insects. Nat Commun 11, 576. https://doi.org/10.1038/s41467-020-14496-6</w:t>
      </w:r>
    </w:p>
    <w:p w14:paraId="7C519120" w14:textId="77777777" w:rsidR="00FC5BA6" w:rsidRDefault="00FC5BA6" w:rsidP="00FC5BA6">
      <w:pPr>
        <w:pStyle w:val="Bibliography"/>
      </w:pPr>
      <w:r>
        <w:t>Thompson, F.C., 2008. A conspectus of New Zealand flower flies (Diptera: Syrphidae) with the description of a new genus and species. Zootaxa 1716, 1. https://doi.org/10.11646/zootaxa.1716.1.1</w:t>
      </w:r>
    </w:p>
    <w:p w14:paraId="6039748E" w14:textId="77777777" w:rsidR="00FC5BA6" w:rsidRDefault="00FC5BA6" w:rsidP="00FC5BA6">
      <w:pPr>
        <w:pStyle w:val="Bibliography"/>
      </w:pPr>
      <w:r>
        <w:t>Vanbergen, A.J., 1, 2, 3, 4, 2013. Threats to an ecosystem service: pressures on pollinators. Frontiers in Ecology and the Environment 11, 251–259. https://doi.org/10.1890/120126</w:t>
      </w:r>
    </w:p>
    <w:p w14:paraId="17395636" w14:textId="77777777" w:rsidR="00FC5BA6" w:rsidRDefault="00FC5BA6" w:rsidP="00FC5BA6">
      <w:pPr>
        <w:pStyle w:val="Bibliography"/>
      </w:pPr>
      <w:r>
        <w:t>Vekemans, X., Hardy, O.J., 2004. New insights from fine-scale spatial genetic structure analyses in plant populations. Molecular Ecology 13, 921–935. https://doi.org/10.1046/j.1365-294X.2004.02076.x</w:t>
      </w:r>
    </w:p>
    <w:p w14:paraId="0DAD1B4E" w14:textId="77777777" w:rsidR="00FC5BA6" w:rsidRDefault="00FC5BA6" w:rsidP="00FC5BA6">
      <w:pPr>
        <w:pStyle w:val="Bibliography"/>
      </w:pPr>
      <w:r>
        <w:t>Wang, J., 2017. The computer program structure for assigning individuals to populations: easy to use but easier to misuse. Molecular Ecology Resources 17, 981–990.</w:t>
      </w:r>
    </w:p>
    <w:p w14:paraId="44FD2FF7" w14:textId="77777777" w:rsidR="00FC5BA6" w:rsidRDefault="00FC5BA6" w:rsidP="00FC5BA6">
      <w:pPr>
        <w:pStyle w:val="Bibliography"/>
      </w:pPr>
      <w:r>
        <w:t>Wardhaugh, C.W., 2015. How many species of arthropods visit flowers? Arthropod-Plant Interactions 9, 547–565. https://doi.org/10.1007/s11829-015-9398-4</w:t>
      </w:r>
    </w:p>
    <w:p w14:paraId="4025EC26" w14:textId="77777777" w:rsidR="00FC5BA6" w:rsidRDefault="00FC5BA6" w:rsidP="00FC5BA6">
      <w:pPr>
        <w:pStyle w:val="Bibliography"/>
      </w:pPr>
      <w:r>
        <w:t>Wellington, W.G., Fitzpatrick, S.M., 1981. Territoriality in the drone fly, Eristalis tenax (Diptera: Syrphidae). The Canadian Entomologist 113, 695–704. https://doi.org/10.4039/Ent113695-8</w:t>
      </w:r>
    </w:p>
    <w:p w14:paraId="09E14A58" w14:textId="77777777" w:rsidR="00FC5BA6" w:rsidRDefault="00FC5BA6" w:rsidP="00FC5BA6">
      <w:pPr>
        <w:pStyle w:val="Bibliography"/>
      </w:pPr>
      <w:r>
        <w:t>Winfree, R., Bartomeus, I., Cariveau, D.P., 2011. Native Pollinators in Anthropogenic Habitats. Annual Review of Ecology, Evolution, and Systematics 42, 1–22. https://doi.org/10.1146/annurev-ecolsys-102710-145042</w:t>
      </w:r>
    </w:p>
    <w:p w14:paraId="22EDD1F6" w14:textId="77777777" w:rsidR="00FC5BA6" w:rsidRDefault="00FC5BA6" w:rsidP="00FC5BA6">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189C827E" w14:textId="77777777" w:rsidR="00FC5BA6" w:rsidRDefault="00FC5BA6" w:rsidP="00FC5BA6">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7C3B612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Pcr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M.plex</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lastRenderedPageBreak/>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lastRenderedPageBreak/>
              <w:t>M.plex</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Benjamini-Hochberg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Benjamini-Hochberg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1229"/>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77777777" w:rsidR="005F5E49" w:rsidRPr="005F5E49" w:rsidRDefault="005F5E49" w:rsidP="005F5E49">
            <w:pPr>
              <w:spacing w:after="0" w:line="240" w:lineRule="auto"/>
              <w:rPr>
                <w:rFonts w:eastAsia="Times New Roman" w:cs="Times New Roman"/>
                <w:color w:val="000000"/>
                <w:szCs w:val="24"/>
                <w:lang w:val="de-LU" w:eastAsia="de-LU"/>
              </w:rPr>
            </w:pPr>
            <w:commentRangeStart w:id="31"/>
            <w:r w:rsidRPr="005F5E49">
              <w:rPr>
                <w:rFonts w:eastAsia="Times New Roman" w:cs="Times New Roman"/>
                <w:color w:val="000000"/>
                <w:szCs w:val="24"/>
                <w:lang w:val="de-LU" w:eastAsia="de-LU"/>
              </w:rPr>
              <w:t>MF239</w:t>
            </w:r>
          </w:p>
        </w:tc>
        <w:tc>
          <w:tcPr>
            <w:tcW w:w="940" w:type="dxa"/>
            <w:tcBorders>
              <w:top w:val="nil"/>
              <w:left w:val="nil"/>
              <w:bottom w:val="nil"/>
              <w:right w:val="nil"/>
            </w:tcBorders>
            <w:shd w:val="clear" w:color="auto" w:fill="auto"/>
            <w:noWrap/>
            <w:vAlign w:val="bottom"/>
            <w:hideMark/>
          </w:tcPr>
          <w:p w14:paraId="56164DF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940" w:type="dxa"/>
            <w:tcBorders>
              <w:top w:val="nil"/>
              <w:left w:val="nil"/>
              <w:bottom w:val="nil"/>
              <w:right w:val="nil"/>
            </w:tcBorders>
            <w:shd w:val="clear" w:color="auto" w:fill="auto"/>
            <w:noWrap/>
            <w:vAlign w:val="bottom"/>
            <w:hideMark/>
          </w:tcPr>
          <w:p w14:paraId="30B8CD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60" w:type="dxa"/>
            <w:tcBorders>
              <w:top w:val="nil"/>
              <w:left w:val="nil"/>
              <w:bottom w:val="nil"/>
              <w:right w:val="nil"/>
            </w:tcBorders>
            <w:shd w:val="clear" w:color="auto" w:fill="auto"/>
            <w:noWrap/>
            <w:vAlign w:val="bottom"/>
            <w:hideMark/>
          </w:tcPr>
          <w:p w14:paraId="3CB53A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60" w:type="dxa"/>
            <w:tcBorders>
              <w:top w:val="nil"/>
              <w:left w:val="nil"/>
              <w:bottom w:val="nil"/>
              <w:right w:val="nil"/>
            </w:tcBorders>
            <w:shd w:val="clear" w:color="auto" w:fill="auto"/>
            <w:noWrap/>
            <w:vAlign w:val="bottom"/>
            <w:hideMark/>
          </w:tcPr>
          <w:p w14:paraId="0F7F322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940" w:type="dxa"/>
            <w:tcBorders>
              <w:top w:val="nil"/>
              <w:left w:val="nil"/>
              <w:bottom w:val="nil"/>
              <w:right w:val="nil"/>
            </w:tcBorders>
            <w:shd w:val="clear" w:color="auto" w:fill="auto"/>
            <w:noWrap/>
            <w:vAlign w:val="bottom"/>
            <w:hideMark/>
          </w:tcPr>
          <w:p w14:paraId="1DB2AF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940" w:type="dxa"/>
            <w:tcBorders>
              <w:top w:val="nil"/>
              <w:left w:val="nil"/>
              <w:bottom w:val="nil"/>
              <w:right w:val="nil"/>
            </w:tcBorders>
            <w:shd w:val="clear" w:color="auto" w:fill="auto"/>
            <w:noWrap/>
            <w:vAlign w:val="bottom"/>
            <w:hideMark/>
          </w:tcPr>
          <w:p w14:paraId="6B0271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940" w:type="dxa"/>
            <w:tcBorders>
              <w:top w:val="nil"/>
              <w:left w:val="nil"/>
              <w:bottom w:val="nil"/>
              <w:right w:val="nil"/>
            </w:tcBorders>
            <w:shd w:val="clear" w:color="auto" w:fill="auto"/>
            <w:noWrap/>
            <w:vAlign w:val="bottom"/>
            <w:hideMark/>
          </w:tcPr>
          <w:p w14:paraId="57BAAC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commentRangeEnd w:id="31"/>
            <w:r w:rsidR="00875563">
              <w:rPr>
                <w:rStyle w:val="CommentReference"/>
              </w:rPr>
              <w:commentReference w:id="31"/>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940" w:type="dxa"/>
            <w:tcBorders>
              <w:top w:val="nil"/>
              <w:left w:val="nil"/>
              <w:bottom w:val="nil"/>
              <w:right w:val="nil"/>
            </w:tcBorders>
            <w:shd w:val="clear" w:color="auto" w:fill="auto"/>
            <w:noWrap/>
            <w:vAlign w:val="bottom"/>
            <w:hideMark/>
          </w:tcPr>
          <w:p w14:paraId="468032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940" w:type="dxa"/>
            <w:tcBorders>
              <w:top w:val="nil"/>
              <w:left w:val="nil"/>
              <w:bottom w:val="nil"/>
              <w:right w:val="nil"/>
            </w:tcBorders>
            <w:shd w:val="clear" w:color="auto" w:fill="auto"/>
            <w:noWrap/>
            <w:vAlign w:val="bottom"/>
            <w:hideMark/>
          </w:tcPr>
          <w:p w14:paraId="3F25D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60" w:type="dxa"/>
            <w:tcBorders>
              <w:top w:val="nil"/>
              <w:left w:val="nil"/>
              <w:bottom w:val="nil"/>
              <w:right w:val="nil"/>
            </w:tcBorders>
            <w:shd w:val="clear" w:color="auto" w:fill="auto"/>
            <w:noWrap/>
            <w:vAlign w:val="bottom"/>
            <w:hideMark/>
          </w:tcPr>
          <w:p w14:paraId="296BD76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60" w:type="dxa"/>
            <w:tcBorders>
              <w:top w:val="nil"/>
              <w:left w:val="nil"/>
              <w:bottom w:val="nil"/>
              <w:right w:val="nil"/>
            </w:tcBorders>
            <w:shd w:val="clear" w:color="auto" w:fill="auto"/>
            <w:noWrap/>
            <w:vAlign w:val="bottom"/>
            <w:hideMark/>
          </w:tcPr>
          <w:p w14:paraId="293439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940" w:type="dxa"/>
            <w:tcBorders>
              <w:top w:val="nil"/>
              <w:left w:val="nil"/>
              <w:bottom w:val="nil"/>
              <w:right w:val="nil"/>
            </w:tcBorders>
            <w:shd w:val="clear" w:color="auto" w:fill="auto"/>
            <w:noWrap/>
            <w:vAlign w:val="bottom"/>
            <w:hideMark/>
          </w:tcPr>
          <w:p w14:paraId="539A59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940" w:type="dxa"/>
            <w:tcBorders>
              <w:top w:val="nil"/>
              <w:left w:val="nil"/>
              <w:bottom w:val="nil"/>
              <w:right w:val="nil"/>
            </w:tcBorders>
            <w:shd w:val="clear" w:color="auto" w:fill="auto"/>
            <w:noWrap/>
            <w:vAlign w:val="bottom"/>
            <w:hideMark/>
          </w:tcPr>
          <w:p w14:paraId="6357DB1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940" w:type="dxa"/>
            <w:tcBorders>
              <w:top w:val="nil"/>
              <w:left w:val="nil"/>
              <w:bottom w:val="nil"/>
              <w:right w:val="nil"/>
            </w:tcBorders>
            <w:shd w:val="clear" w:color="auto" w:fill="auto"/>
            <w:noWrap/>
            <w:vAlign w:val="bottom"/>
            <w:hideMark/>
          </w:tcPr>
          <w:p w14:paraId="3C7CA2C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940" w:type="dxa"/>
            <w:tcBorders>
              <w:top w:val="nil"/>
              <w:left w:val="nil"/>
              <w:bottom w:val="nil"/>
              <w:right w:val="nil"/>
            </w:tcBorders>
            <w:shd w:val="clear" w:color="auto" w:fill="auto"/>
            <w:noWrap/>
            <w:vAlign w:val="bottom"/>
            <w:hideMark/>
          </w:tcPr>
          <w:p w14:paraId="08AC21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940" w:type="dxa"/>
            <w:tcBorders>
              <w:top w:val="nil"/>
              <w:left w:val="nil"/>
              <w:bottom w:val="nil"/>
              <w:right w:val="nil"/>
            </w:tcBorders>
            <w:shd w:val="clear" w:color="auto" w:fill="auto"/>
            <w:noWrap/>
            <w:vAlign w:val="bottom"/>
            <w:hideMark/>
          </w:tcPr>
          <w:p w14:paraId="4E7AC7A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60" w:type="dxa"/>
            <w:tcBorders>
              <w:top w:val="nil"/>
              <w:left w:val="nil"/>
              <w:bottom w:val="nil"/>
              <w:right w:val="nil"/>
            </w:tcBorders>
            <w:shd w:val="clear" w:color="auto" w:fill="auto"/>
            <w:noWrap/>
            <w:vAlign w:val="bottom"/>
            <w:hideMark/>
          </w:tcPr>
          <w:p w14:paraId="5749420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60" w:type="dxa"/>
            <w:tcBorders>
              <w:top w:val="nil"/>
              <w:left w:val="nil"/>
              <w:bottom w:val="nil"/>
              <w:right w:val="nil"/>
            </w:tcBorders>
            <w:shd w:val="clear" w:color="auto" w:fill="auto"/>
            <w:noWrap/>
            <w:vAlign w:val="bottom"/>
            <w:hideMark/>
          </w:tcPr>
          <w:p w14:paraId="3076FEE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940" w:type="dxa"/>
            <w:tcBorders>
              <w:top w:val="nil"/>
              <w:left w:val="nil"/>
              <w:bottom w:val="nil"/>
              <w:right w:val="nil"/>
            </w:tcBorders>
            <w:shd w:val="clear" w:color="auto" w:fill="auto"/>
            <w:noWrap/>
            <w:vAlign w:val="bottom"/>
            <w:hideMark/>
          </w:tcPr>
          <w:p w14:paraId="601CCCA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940" w:type="dxa"/>
            <w:tcBorders>
              <w:top w:val="nil"/>
              <w:left w:val="nil"/>
              <w:bottom w:val="nil"/>
              <w:right w:val="nil"/>
            </w:tcBorders>
            <w:shd w:val="clear" w:color="auto" w:fill="auto"/>
            <w:noWrap/>
            <w:vAlign w:val="bottom"/>
            <w:hideMark/>
          </w:tcPr>
          <w:p w14:paraId="4BE3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940" w:type="dxa"/>
            <w:tcBorders>
              <w:top w:val="nil"/>
              <w:left w:val="nil"/>
              <w:bottom w:val="nil"/>
              <w:right w:val="nil"/>
            </w:tcBorders>
            <w:shd w:val="clear" w:color="auto" w:fill="auto"/>
            <w:noWrap/>
            <w:vAlign w:val="bottom"/>
            <w:hideMark/>
          </w:tcPr>
          <w:p w14:paraId="6EE5B00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MF239</w:t>
            </w:r>
          </w:p>
        </w:tc>
        <w:tc>
          <w:tcPr>
            <w:tcW w:w="1040" w:type="dxa"/>
            <w:tcBorders>
              <w:top w:val="nil"/>
              <w:left w:val="nil"/>
              <w:bottom w:val="nil"/>
              <w:right w:val="nil"/>
            </w:tcBorders>
            <w:shd w:val="clear" w:color="auto" w:fill="auto"/>
            <w:noWrap/>
            <w:vAlign w:val="bottom"/>
            <w:hideMark/>
          </w:tcPr>
          <w:p w14:paraId="4EE3B6F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1040" w:type="dxa"/>
            <w:tcBorders>
              <w:top w:val="nil"/>
              <w:left w:val="nil"/>
              <w:bottom w:val="nil"/>
              <w:right w:val="nil"/>
            </w:tcBorders>
            <w:shd w:val="clear" w:color="auto" w:fill="auto"/>
            <w:noWrap/>
            <w:vAlign w:val="bottom"/>
            <w:hideMark/>
          </w:tcPr>
          <w:p w14:paraId="10EE12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40" w:type="dxa"/>
            <w:tcBorders>
              <w:top w:val="nil"/>
              <w:left w:val="nil"/>
              <w:bottom w:val="nil"/>
              <w:right w:val="nil"/>
            </w:tcBorders>
            <w:shd w:val="clear" w:color="auto" w:fill="auto"/>
            <w:noWrap/>
            <w:vAlign w:val="bottom"/>
            <w:hideMark/>
          </w:tcPr>
          <w:p w14:paraId="184A3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40" w:type="dxa"/>
            <w:tcBorders>
              <w:top w:val="nil"/>
              <w:left w:val="nil"/>
              <w:bottom w:val="nil"/>
              <w:right w:val="nil"/>
            </w:tcBorders>
            <w:shd w:val="clear" w:color="auto" w:fill="auto"/>
            <w:noWrap/>
            <w:vAlign w:val="bottom"/>
            <w:hideMark/>
          </w:tcPr>
          <w:p w14:paraId="71B674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1040" w:type="dxa"/>
            <w:tcBorders>
              <w:top w:val="nil"/>
              <w:left w:val="nil"/>
              <w:bottom w:val="nil"/>
              <w:right w:val="nil"/>
            </w:tcBorders>
            <w:shd w:val="clear" w:color="auto" w:fill="auto"/>
            <w:noWrap/>
            <w:vAlign w:val="bottom"/>
            <w:hideMark/>
          </w:tcPr>
          <w:p w14:paraId="7FA1DED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1040" w:type="dxa"/>
            <w:tcBorders>
              <w:top w:val="nil"/>
              <w:left w:val="nil"/>
              <w:bottom w:val="nil"/>
              <w:right w:val="nil"/>
            </w:tcBorders>
            <w:shd w:val="clear" w:color="auto" w:fill="auto"/>
            <w:noWrap/>
            <w:vAlign w:val="bottom"/>
            <w:hideMark/>
          </w:tcPr>
          <w:p w14:paraId="7FEF0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1040" w:type="dxa"/>
            <w:tcBorders>
              <w:top w:val="nil"/>
              <w:left w:val="nil"/>
              <w:bottom w:val="nil"/>
              <w:right w:val="nil"/>
            </w:tcBorders>
            <w:shd w:val="clear" w:color="auto" w:fill="auto"/>
            <w:noWrap/>
            <w:vAlign w:val="bottom"/>
            <w:hideMark/>
          </w:tcPr>
          <w:p w14:paraId="104B03F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1040" w:type="dxa"/>
            <w:tcBorders>
              <w:top w:val="nil"/>
              <w:left w:val="nil"/>
              <w:bottom w:val="nil"/>
              <w:right w:val="nil"/>
            </w:tcBorders>
            <w:shd w:val="clear" w:color="auto" w:fill="auto"/>
            <w:noWrap/>
            <w:vAlign w:val="bottom"/>
            <w:hideMark/>
          </w:tcPr>
          <w:p w14:paraId="4D1A19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1040" w:type="dxa"/>
            <w:tcBorders>
              <w:top w:val="nil"/>
              <w:left w:val="nil"/>
              <w:bottom w:val="nil"/>
              <w:right w:val="nil"/>
            </w:tcBorders>
            <w:shd w:val="clear" w:color="auto" w:fill="auto"/>
            <w:noWrap/>
            <w:vAlign w:val="bottom"/>
            <w:hideMark/>
          </w:tcPr>
          <w:p w14:paraId="7D3E3E2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40" w:type="dxa"/>
            <w:tcBorders>
              <w:top w:val="nil"/>
              <w:left w:val="nil"/>
              <w:bottom w:val="nil"/>
              <w:right w:val="nil"/>
            </w:tcBorders>
            <w:shd w:val="clear" w:color="auto" w:fill="auto"/>
            <w:noWrap/>
            <w:vAlign w:val="bottom"/>
            <w:hideMark/>
          </w:tcPr>
          <w:p w14:paraId="57E496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40" w:type="dxa"/>
            <w:tcBorders>
              <w:top w:val="nil"/>
              <w:left w:val="nil"/>
              <w:bottom w:val="nil"/>
              <w:right w:val="nil"/>
            </w:tcBorders>
            <w:shd w:val="clear" w:color="auto" w:fill="auto"/>
            <w:noWrap/>
            <w:vAlign w:val="bottom"/>
            <w:hideMark/>
          </w:tcPr>
          <w:p w14:paraId="777AD8F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1040" w:type="dxa"/>
            <w:tcBorders>
              <w:top w:val="nil"/>
              <w:left w:val="nil"/>
              <w:bottom w:val="nil"/>
              <w:right w:val="nil"/>
            </w:tcBorders>
            <w:shd w:val="clear" w:color="auto" w:fill="auto"/>
            <w:noWrap/>
            <w:vAlign w:val="bottom"/>
            <w:hideMark/>
          </w:tcPr>
          <w:p w14:paraId="3EE284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1040" w:type="dxa"/>
            <w:tcBorders>
              <w:top w:val="nil"/>
              <w:left w:val="nil"/>
              <w:bottom w:val="nil"/>
              <w:right w:val="nil"/>
            </w:tcBorders>
            <w:shd w:val="clear" w:color="auto" w:fill="auto"/>
            <w:noWrap/>
            <w:vAlign w:val="bottom"/>
            <w:hideMark/>
          </w:tcPr>
          <w:p w14:paraId="12FE22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1040" w:type="dxa"/>
            <w:tcBorders>
              <w:top w:val="nil"/>
              <w:left w:val="nil"/>
              <w:bottom w:val="nil"/>
              <w:right w:val="nil"/>
            </w:tcBorders>
            <w:shd w:val="clear" w:color="auto" w:fill="auto"/>
            <w:noWrap/>
            <w:vAlign w:val="bottom"/>
            <w:hideMark/>
          </w:tcPr>
          <w:p w14:paraId="3A8D0C2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1040" w:type="dxa"/>
            <w:tcBorders>
              <w:top w:val="nil"/>
              <w:left w:val="nil"/>
              <w:bottom w:val="nil"/>
              <w:right w:val="nil"/>
            </w:tcBorders>
            <w:shd w:val="clear" w:color="auto" w:fill="auto"/>
            <w:noWrap/>
            <w:vAlign w:val="bottom"/>
            <w:hideMark/>
          </w:tcPr>
          <w:p w14:paraId="52CE011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1040" w:type="dxa"/>
            <w:tcBorders>
              <w:top w:val="nil"/>
              <w:left w:val="nil"/>
              <w:bottom w:val="nil"/>
              <w:right w:val="nil"/>
            </w:tcBorders>
            <w:shd w:val="clear" w:color="auto" w:fill="auto"/>
            <w:noWrap/>
            <w:vAlign w:val="bottom"/>
            <w:hideMark/>
          </w:tcPr>
          <w:p w14:paraId="440CF1E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40" w:type="dxa"/>
            <w:tcBorders>
              <w:top w:val="nil"/>
              <w:left w:val="nil"/>
              <w:bottom w:val="nil"/>
              <w:right w:val="nil"/>
            </w:tcBorders>
            <w:shd w:val="clear" w:color="auto" w:fill="auto"/>
            <w:noWrap/>
            <w:vAlign w:val="bottom"/>
            <w:hideMark/>
          </w:tcPr>
          <w:p w14:paraId="3FA7F76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40" w:type="dxa"/>
            <w:tcBorders>
              <w:top w:val="nil"/>
              <w:left w:val="nil"/>
              <w:bottom w:val="nil"/>
              <w:right w:val="nil"/>
            </w:tcBorders>
            <w:shd w:val="clear" w:color="auto" w:fill="auto"/>
            <w:noWrap/>
            <w:vAlign w:val="bottom"/>
            <w:hideMark/>
          </w:tcPr>
          <w:p w14:paraId="29CA891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1040" w:type="dxa"/>
            <w:tcBorders>
              <w:top w:val="nil"/>
              <w:left w:val="nil"/>
              <w:bottom w:val="nil"/>
              <w:right w:val="nil"/>
            </w:tcBorders>
            <w:shd w:val="clear" w:color="auto" w:fill="auto"/>
            <w:noWrap/>
            <w:vAlign w:val="bottom"/>
            <w:hideMark/>
          </w:tcPr>
          <w:p w14:paraId="59F97E4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1040" w:type="dxa"/>
            <w:tcBorders>
              <w:top w:val="nil"/>
              <w:left w:val="nil"/>
              <w:bottom w:val="nil"/>
              <w:right w:val="nil"/>
            </w:tcBorders>
            <w:shd w:val="clear" w:color="auto" w:fill="auto"/>
            <w:noWrap/>
            <w:vAlign w:val="bottom"/>
            <w:hideMark/>
          </w:tcPr>
          <w:p w14:paraId="536D9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1040" w:type="dxa"/>
            <w:tcBorders>
              <w:top w:val="nil"/>
              <w:left w:val="nil"/>
              <w:bottom w:val="nil"/>
              <w:right w:val="nil"/>
            </w:tcBorders>
            <w:shd w:val="clear" w:color="auto" w:fill="auto"/>
            <w:noWrap/>
            <w:vAlign w:val="bottom"/>
            <w:hideMark/>
          </w:tcPr>
          <w:p w14:paraId="2ECAD3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2637E4" w:rsidRDefault="002637E4"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2637E4" w:rsidRDefault="002637E4"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2637E4" w:rsidRPr="00F3668F" w:rsidRDefault="002637E4"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2637E4" w:rsidRPr="00F3668F" w:rsidRDefault="002637E4"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2637E4" w:rsidRPr="00F3668F" w:rsidRDefault="002637E4"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2637E4" w:rsidRPr="00F3668F" w:rsidRDefault="002637E4"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hor" w:initials="A">
    <w:p w14:paraId="4310EF8D" w14:textId="2F9AFC30" w:rsidR="002637E4" w:rsidRDefault="002637E4">
      <w:pPr>
        <w:pStyle w:val="CommentText"/>
      </w:pPr>
      <w:r>
        <w:rPr>
          <w:rStyle w:val="CommentReference"/>
        </w:rPr>
        <w:annotationRef/>
      </w:r>
      <w:r>
        <w:t>The results of this are not reported in the manuscript. I suggest removing here or adding the methods/results.</w:t>
      </w:r>
    </w:p>
  </w:comment>
  <w:comment w:id="3" w:author="Author" w:initials="A">
    <w:p w14:paraId="2C30CA0A" w14:textId="6FC67BE9" w:rsidR="002637E4" w:rsidRDefault="002637E4">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2637E4" w:rsidRDefault="002637E4">
      <w:pPr>
        <w:pStyle w:val="CommentText"/>
      </w:pPr>
      <w:r>
        <w:t>Add clear hypotheses</w:t>
      </w:r>
    </w:p>
  </w:comment>
  <w:comment w:id="4" w:author="Author" w:initials="A">
    <w:p w14:paraId="3115F075" w14:textId="7C15AD3A" w:rsidR="002637E4" w:rsidRDefault="002637E4">
      <w:pPr>
        <w:pStyle w:val="CommentText"/>
      </w:pPr>
      <w:r>
        <w:rPr>
          <w:rStyle w:val="CommentReference"/>
        </w:rPr>
        <w:annotationRef/>
      </w:r>
      <w:r>
        <w:t>Double check this methodology, was it 90% or 96% ethanol? How was species ID confirmed?</w:t>
      </w:r>
    </w:p>
  </w:comment>
  <w:comment w:id="5" w:author="Author" w:initials="A">
    <w:p w14:paraId="21B5C43A" w14:textId="2E1BCF6E" w:rsidR="002637E4" w:rsidRDefault="002637E4">
      <w:pPr>
        <w:pStyle w:val="CommentText"/>
      </w:pPr>
      <w:r>
        <w:rPr>
          <w:rStyle w:val="CommentReference"/>
        </w:rPr>
        <w:annotationRef/>
      </w:r>
      <w:r>
        <w:t>Check with Amanda/Stéphanie if this methodology is correct</w:t>
      </w:r>
    </w:p>
  </w:comment>
  <w:comment w:id="6" w:author="Author" w:initials="A">
    <w:p w14:paraId="53DDAA30" w14:textId="31E7E5B9" w:rsidR="002637E4" w:rsidRDefault="002637E4">
      <w:pPr>
        <w:pStyle w:val="CommentText"/>
      </w:pPr>
      <w:r>
        <w:rPr>
          <w:rStyle w:val="CommentReference"/>
        </w:rPr>
        <w:annotationRef/>
      </w:r>
      <w:r>
        <w:t>Wrong values? Stéphanie gave me one set and Alain another. Which one is right?</w:t>
      </w:r>
    </w:p>
  </w:comment>
  <w:comment w:id="7" w:author="Author" w:initials="A">
    <w:p w14:paraId="47D611C0" w14:textId="5CB28726" w:rsidR="002637E4" w:rsidRDefault="002637E4">
      <w:pPr>
        <w:pStyle w:val="CommentText"/>
      </w:pPr>
      <w:r>
        <w:rPr>
          <w:rStyle w:val="CommentReference"/>
        </w:rPr>
        <w:annotationRef/>
      </w:r>
      <w:r>
        <w:t xml:space="preserve">What about controls? Were negative controls included on all plates etc? </w:t>
      </w:r>
    </w:p>
  </w:comment>
  <w:comment w:id="8" w:author="Author" w:initials="A">
    <w:p w14:paraId="2AE2886F" w14:textId="212005D4" w:rsidR="002637E4" w:rsidRDefault="002637E4" w:rsidP="00DC0F04">
      <w:pPr>
        <w:pStyle w:val="CommentText"/>
      </w:pPr>
      <w:r>
        <w:rPr>
          <w:rStyle w:val="CommentReference"/>
        </w:rPr>
        <w:annotationRef/>
      </w:r>
      <w:r>
        <w:t>This seems an arbitrary threshold. The threshold should be based on the number of tests and the number of expected false positive tests, e.g. for 14 loci and 9+10 districts and communes, you have 266 tests. At an alpha of 0.05, you would expect 13.3 false positive p-values. To get 95% confidence interval, you can use the binomial distribution, which gives 7-20 false positive p-values. Accordingly, if the analyses yields fewer than 20 significant p-values, one can assume no significant deviation from HW proportions.</w:t>
      </w:r>
    </w:p>
    <w:p w14:paraId="648C630A" w14:textId="326BDE0A" w:rsidR="002637E4" w:rsidRDefault="002637E4" w:rsidP="00DC0F04">
      <w:pPr>
        <w:pStyle w:val="CommentText"/>
      </w:pPr>
      <w:r>
        <w:t xml:space="preserve">At the moment you apply FDR but still accept significant p-values in a third of the partitions even though you already corrected for multiple testing. But changing methodology now would probably lead to exclude some additional loci in M. florea. Although for Myathropa, 11 individuals are very few to estimate HW proportions for, I would have used also 20 individuals and grouped by canton or neighbouring communes if there were barely any communes with 20 samples. </w:t>
      </w:r>
    </w:p>
  </w:comment>
  <w:comment w:id="9" w:author="Author" w:initials="A">
    <w:p w14:paraId="456D4A6E" w14:textId="203C2AB2" w:rsidR="002637E4" w:rsidRDefault="002637E4">
      <w:pPr>
        <w:pStyle w:val="CommentText"/>
      </w:pPr>
      <w:r>
        <w:rPr>
          <w:rStyle w:val="CommentReference"/>
        </w:rPr>
        <w:annotationRef/>
      </w:r>
      <w:r>
        <w:t>Include results of these, e.g. as a table for Luxembourg/Cologne and urban/non-urban</w:t>
      </w:r>
    </w:p>
  </w:comment>
  <w:comment w:id="10" w:author="Author" w:initials="A">
    <w:p w14:paraId="3AABE10C" w14:textId="672016DC" w:rsidR="002637E4" w:rsidRDefault="002637E4">
      <w:pPr>
        <w:pStyle w:val="CommentText"/>
      </w:pPr>
      <w:r>
        <w:rPr>
          <w:rStyle w:val="CommentReference"/>
        </w:rPr>
        <w:annotationRef/>
      </w:r>
      <w:r>
        <w:t>This is never mentioned again, were there interesting results, delete or report results</w:t>
      </w:r>
    </w:p>
  </w:comment>
  <w:comment w:id="11" w:author="Author" w:initials="A">
    <w:p w14:paraId="68A5DBA0" w14:textId="5C8CCA87" w:rsidR="002637E4" w:rsidRDefault="002637E4">
      <w:pPr>
        <w:pStyle w:val="CommentText"/>
      </w:pPr>
      <w:r>
        <w:rPr>
          <w:rStyle w:val="CommentReference"/>
        </w:rPr>
        <w:annotationRef/>
      </w:r>
      <w:r>
        <w:t>What is this? Which genetic distance is this? Add the results in the result section</w:t>
      </w:r>
    </w:p>
  </w:comment>
  <w:comment w:id="12" w:author="Author" w:initials="A">
    <w:p w14:paraId="04E05B25" w14:textId="77777777" w:rsidR="002637E4" w:rsidRPr="00AF2558" w:rsidRDefault="002637E4" w:rsidP="00537624">
      <w:pPr>
        <w:spacing w:after="0" w:line="240" w:lineRule="auto"/>
        <w:rPr>
          <w:rFonts w:eastAsia="Times New Roman" w:cs="Times New Roman"/>
          <w:szCs w:val="24"/>
        </w:rPr>
      </w:pPr>
      <w:r>
        <w:rPr>
          <w:rStyle w:val="CommentReference"/>
        </w:rPr>
        <w:annotationRef/>
      </w:r>
      <w:r w:rsidRPr="00AF2558">
        <w:rPr>
          <w:rFonts w:eastAsia="Times New Roman" w:cs="Times New Roman"/>
          <w:szCs w:val="24"/>
        </w:rPr>
        <w:t xml:space="preserve">Corander, J., Sirén, J., &amp; Arjas, E. (2008). Bayesian spatial modeling of genetic population structure. </w:t>
      </w:r>
      <w:r w:rsidRPr="00AF2558">
        <w:rPr>
          <w:rFonts w:eastAsia="Times New Roman" w:cs="Times New Roman"/>
          <w:i/>
          <w:iCs/>
          <w:szCs w:val="24"/>
        </w:rPr>
        <w:t>Computational Statistics</w:t>
      </w:r>
      <w:r w:rsidRPr="00AF2558">
        <w:rPr>
          <w:rFonts w:eastAsia="Times New Roman" w:cs="Times New Roman"/>
          <w:szCs w:val="24"/>
        </w:rPr>
        <w:t xml:space="preserve">, </w:t>
      </w:r>
      <w:r w:rsidRPr="00AF2558">
        <w:rPr>
          <w:rFonts w:eastAsia="Times New Roman" w:cs="Times New Roman"/>
          <w:i/>
          <w:iCs/>
          <w:szCs w:val="24"/>
        </w:rPr>
        <w:t>23</w:t>
      </w:r>
      <w:r w:rsidRPr="00AF2558">
        <w:rPr>
          <w:rFonts w:eastAsia="Times New Roman" w:cs="Times New Roman"/>
          <w:szCs w:val="24"/>
        </w:rPr>
        <w:t>(1), 111–129. https://doi.org/10.1007/s00180-007-0072-x</w:t>
      </w:r>
    </w:p>
    <w:p w14:paraId="2E155945" w14:textId="77777777" w:rsidR="002637E4" w:rsidRDefault="002637E4" w:rsidP="00537624">
      <w:pPr>
        <w:pStyle w:val="CommentText"/>
      </w:pPr>
    </w:p>
  </w:comment>
  <w:comment w:id="13" w:author="Author" w:initials="A">
    <w:p w14:paraId="040E7E74" w14:textId="77777777" w:rsidR="002637E4" w:rsidRDefault="002637E4" w:rsidP="00537624">
      <w:pPr>
        <w:pStyle w:val="CommentText"/>
      </w:pPr>
      <w:r>
        <w:rPr>
          <w:rStyle w:val="CommentReference"/>
        </w:rPr>
        <w:annotationRef/>
      </w:r>
      <w:r>
        <w:t>This is vague, I suggest removing or specifying for which parameters/settings these recommendations applied to.</w:t>
      </w:r>
    </w:p>
  </w:comment>
  <w:comment w:id="14" w:author="Author" w:initials="A">
    <w:p w14:paraId="3B15E3D2" w14:textId="77777777" w:rsidR="002637E4" w:rsidRDefault="002637E4" w:rsidP="00537624">
      <w:pPr>
        <w:pStyle w:val="CommentText"/>
      </w:pPr>
      <w:r>
        <w:rPr>
          <w:rStyle w:val="CommentReference"/>
        </w:rPr>
        <w:annotationRef/>
      </w:r>
      <w:r>
        <w:t>Rephrase, e.g. This is a necessary step to avoid overfitting while preserving discrimination power given that the first few components represent most of the genetic variation.</w:t>
      </w:r>
    </w:p>
  </w:comment>
  <w:comment w:id="15" w:author="Author" w:initials="A">
    <w:p w14:paraId="5CB56DCC" w14:textId="077B12F7" w:rsidR="002637E4" w:rsidRDefault="002637E4" w:rsidP="00116356">
      <w:pPr>
        <w:pStyle w:val="CommentText"/>
      </w:pPr>
      <w:r>
        <w:rPr>
          <w:rStyle w:val="CommentReference"/>
        </w:rPr>
        <w:annotationRef/>
      </w:r>
      <w:r>
        <w:t>Fitzpatrick M, Mokany K, Manion G, Nieto-Lugilde D, Ferrier S (2022). gdm: Generalized Dissimilarity Modeling. R package version 1.5.0-9.1,</w:t>
      </w:r>
    </w:p>
    <w:p w14:paraId="61D98609" w14:textId="37421163" w:rsidR="002637E4" w:rsidRDefault="002637E4" w:rsidP="00116356">
      <w:pPr>
        <w:pStyle w:val="CommentText"/>
      </w:pPr>
      <w:r>
        <w:t xml:space="preserve">  &lt;https://CRAN.R-project.org/package=gdm&gt;</w:t>
      </w:r>
    </w:p>
  </w:comment>
  <w:comment w:id="16" w:author="Author" w:initials="A">
    <w:p w14:paraId="66D7EFFF" w14:textId="32B55CAC" w:rsidR="002637E4" w:rsidRPr="00116356" w:rsidRDefault="002637E4">
      <w:pPr>
        <w:pStyle w:val="CommentText"/>
      </w:pPr>
      <w:r>
        <w:rPr>
          <w:rStyle w:val="CommentReference"/>
        </w:rPr>
        <w:annotationRef/>
      </w:r>
      <w:r w:rsidRPr="00116356">
        <w:rPr>
          <w:rFonts w:ascii="Arial" w:hAnsi="Arial" w:cs="Arial"/>
          <w:bCs/>
          <w:color w:val="202124"/>
          <w:shd w:val="clear" w:color="auto" w:fill="FFFFFF"/>
        </w:rPr>
        <w:t>QGIS Development Team (2022).</w:t>
      </w:r>
      <w:r w:rsidRPr="00116356">
        <w:rPr>
          <w:rFonts w:ascii="Arial" w:hAnsi="Arial" w:cs="Arial"/>
          <w:color w:val="202124"/>
          <w:shd w:val="clear" w:color="auto" w:fill="FFFFFF"/>
        </w:rPr>
        <w:t> </w:t>
      </w:r>
      <w:r w:rsidRPr="00116356">
        <w:rPr>
          <w:rFonts w:ascii="Arial" w:hAnsi="Arial" w:cs="Arial"/>
          <w:bCs/>
          <w:color w:val="202124"/>
          <w:shd w:val="clear" w:color="auto" w:fill="FFFFFF"/>
        </w:rPr>
        <w:t>QGIS Geographic Information System.</w:t>
      </w:r>
      <w:r w:rsidRPr="00116356">
        <w:rPr>
          <w:rFonts w:ascii="Arial" w:hAnsi="Arial" w:cs="Arial"/>
          <w:color w:val="202124"/>
          <w:shd w:val="clear" w:color="auto" w:fill="FFFFFF"/>
        </w:rPr>
        <w:t> </w:t>
      </w:r>
      <w:r w:rsidRPr="00116356">
        <w:rPr>
          <w:rFonts w:ascii="Arial" w:hAnsi="Arial" w:cs="Arial"/>
          <w:bCs/>
          <w:color w:val="202124"/>
          <w:shd w:val="clear" w:color="auto" w:fill="FFFFFF"/>
        </w:rPr>
        <w:t>Open Source Geospatial Foundation Project.</w:t>
      </w:r>
      <w:r w:rsidRPr="00116356">
        <w:rPr>
          <w:rFonts w:ascii="Arial" w:hAnsi="Arial" w:cs="Arial"/>
          <w:color w:val="202124"/>
          <w:shd w:val="clear" w:color="auto" w:fill="FFFFFF"/>
        </w:rPr>
        <w:t> </w:t>
      </w:r>
      <w:r w:rsidRPr="00116356">
        <w:rPr>
          <w:rFonts w:ascii="Arial" w:hAnsi="Arial" w:cs="Arial"/>
          <w:bCs/>
          <w:color w:val="202124"/>
          <w:shd w:val="clear" w:color="auto" w:fill="FFFFFF"/>
        </w:rPr>
        <w:t>http://qgis.osgeo.org"</w:t>
      </w:r>
      <w:r w:rsidRPr="00116356">
        <w:rPr>
          <w:rFonts w:ascii="Arial" w:hAnsi="Arial" w:cs="Arial"/>
          <w:color w:val="202124"/>
          <w:shd w:val="clear" w:color="auto" w:fill="FFFFFF"/>
        </w:rPr>
        <w:t>.</w:t>
      </w:r>
    </w:p>
  </w:comment>
  <w:comment w:id="17" w:author="Author" w:initials="A">
    <w:p w14:paraId="0BC53950" w14:textId="09ADF27B" w:rsidR="002637E4" w:rsidRDefault="002637E4">
      <w:pPr>
        <w:pStyle w:val="CommentText"/>
      </w:pPr>
      <w:r>
        <w:rPr>
          <w:rStyle w:val="CommentReference"/>
        </w:rPr>
        <w:annotationRef/>
      </w:r>
      <w:r>
        <w:t>Add allelic richness results, FST, compare urban/non-urban genetic diversity etc see your methods</w:t>
      </w:r>
    </w:p>
  </w:comment>
  <w:comment w:id="18" w:author="Author" w:initials="A">
    <w:p w14:paraId="1128EDAA" w14:textId="77777777" w:rsidR="002637E4" w:rsidRDefault="002637E4"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9" w:author="Author" w:initials="A">
    <w:p w14:paraId="69CBC694" w14:textId="7148D714" w:rsidR="002637E4" w:rsidRDefault="002637E4">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20" w:author="Author" w:initials="A">
    <w:p w14:paraId="66CAD81D" w14:textId="4616BAC1" w:rsidR="002637E4" w:rsidRPr="00C90829" w:rsidRDefault="002637E4">
      <w:pPr>
        <w:pStyle w:val="CommentText"/>
      </w:pPr>
      <w:r>
        <w:rPr>
          <w:rStyle w:val="CommentReference"/>
        </w:rPr>
        <w:annotationRef/>
      </w:r>
      <w:r w:rsidRPr="00C90829">
        <w:t>Change</w:t>
      </w:r>
    </w:p>
  </w:comment>
  <w:comment w:id="21" w:author="Author" w:initials="A">
    <w:p w14:paraId="08CEA263" w14:textId="7AD00140" w:rsidR="002637E4" w:rsidRDefault="002637E4">
      <w:pPr>
        <w:pStyle w:val="CommentText"/>
      </w:pPr>
      <w:r>
        <w:rPr>
          <w:rStyle w:val="CommentReference"/>
        </w:rPr>
        <w:annotationRef/>
      </w:r>
      <w:r>
        <w:t>I would delete this, simply report that STRUCTURE suggested K = 1, no need to discuss other clustering solutions.</w:t>
      </w:r>
    </w:p>
  </w:comment>
  <w:comment w:id="22" w:author="Author" w:initials="A">
    <w:p w14:paraId="2EE6BE1F" w14:textId="7EFD92B4" w:rsidR="002637E4" w:rsidRDefault="002637E4">
      <w:pPr>
        <w:pStyle w:val="CommentText"/>
      </w:pPr>
      <w:r>
        <w:rPr>
          <w:rStyle w:val="CommentReference"/>
        </w:rPr>
        <w:annotationRef/>
      </w:r>
      <w:r>
        <w:t xml:space="preserve">Failure to reject panmixia is not necessarily evidence for a single panmictic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23" w:author="Author" w:initials="A">
    <w:p w14:paraId="1B39B95E" w14:textId="77777777" w:rsidR="002637E4" w:rsidRPr="003B2190" w:rsidRDefault="002637E4" w:rsidP="003B2190">
      <w:pPr>
        <w:spacing w:after="0" w:line="240" w:lineRule="auto"/>
        <w:rPr>
          <w:rFonts w:eastAsia="Times New Roman" w:cs="Times New Roman"/>
          <w:szCs w:val="24"/>
        </w:rPr>
      </w:pPr>
      <w:r>
        <w:rPr>
          <w:rStyle w:val="CommentReference"/>
        </w:rPr>
        <w:annotationRef/>
      </w:r>
      <w:r w:rsidRPr="003B2190">
        <w:rPr>
          <w:rFonts w:eastAsia="Times New Roman" w:cs="Times New Roman"/>
          <w:szCs w:val="24"/>
          <w:lang w:val="de-DE"/>
        </w:rPr>
        <w:t xml:space="preserve">Glück, M., Geue, J. C., &amp; Thomassen, H. A. (2022). </w:t>
      </w:r>
      <w:r w:rsidRPr="003B2190">
        <w:rPr>
          <w:rFonts w:eastAsia="Times New Roman" w:cs="Times New Roman"/>
          <w:szCs w:val="24"/>
        </w:rPr>
        <w:t xml:space="preserve">Environmental differences explain subtle yet detectable genetic structure in a widespread pollinator. </w:t>
      </w:r>
      <w:r w:rsidRPr="003B2190">
        <w:rPr>
          <w:rFonts w:eastAsia="Times New Roman" w:cs="Times New Roman"/>
          <w:i/>
          <w:iCs/>
          <w:szCs w:val="24"/>
        </w:rPr>
        <w:t>BMC Ecology and Evolution</w:t>
      </w:r>
      <w:r w:rsidRPr="003B2190">
        <w:rPr>
          <w:rFonts w:eastAsia="Times New Roman" w:cs="Times New Roman"/>
          <w:szCs w:val="24"/>
        </w:rPr>
        <w:t xml:space="preserve">, </w:t>
      </w:r>
      <w:r w:rsidRPr="003B2190">
        <w:rPr>
          <w:rFonts w:eastAsia="Times New Roman" w:cs="Times New Roman"/>
          <w:i/>
          <w:iCs/>
          <w:szCs w:val="24"/>
        </w:rPr>
        <w:t>22</w:t>
      </w:r>
      <w:r w:rsidRPr="003B2190">
        <w:rPr>
          <w:rFonts w:eastAsia="Times New Roman" w:cs="Times New Roman"/>
          <w:szCs w:val="24"/>
        </w:rPr>
        <w:t>(1), 1–16. https://doi.org/10.1186/s12862-022-01963-5</w:t>
      </w:r>
    </w:p>
    <w:p w14:paraId="26E8401C" w14:textId="36F02C2B" w:rsidR="002637E4" w:rsidRDefault="002637E4">
      <w:pPr>
        <w:pStyle w:val="CommentText"/>
      </w:pPr>
    </w:p>
  </w:comment>
  <w:comment w:id="24" w:author="Author" w:initials="A">
    <w:p w14:paraId="68F7F1CE" w14:textId="16FB9951" w:rsidR="002637E4" w:rsidRDefault="002637E4">
      <w:pPr>
        <w:pStyle w:val="CommentText"/>
      </w:pPr>
      <w:r>
        <w:rPr>
          <w:rStyle w:val="CommentReference"/>
        </w:rPr>
        <w:annotationRef/>
      </w:r>
      <w:r>
        <w:t>I suggest deleting this because you removed this part of the DAPC analysis and don’t need to discuss this aspect of STRUCTURE. STRUCTURE is known to not perform well with IBD and low genetic differentiation, so in those situation one wants to use alternative methods with higher power to detect differentiation.</w:t>
      </w:r>
    </w:p>
  </w:comment>
  <w:comment w:id="25" w:author="Author" w:initials="A">
    <w:p w14:paraId="6B789816" w14:textId="323566DA" w:rsidR="002637E4" w:rsidRDefault="002637E4">
      <w:pPr>
        <w:pStyle w:val="CommentText"/>
      </w:pPr>
      <w:r>
        <w:rPr>
          <w:rStyle w:val="CommentReference"/>
        </w:rPr>
        <w:annotationRef/>
      </w:r>
      <w:r>
        <w:t>How did urban/rural genetic diversity compare in our dataset?</w:t>
      </w:r>
    </w:p>
  </w:comment>
  <w:comment w:id="26" w:author="Author" w:initials="A">
    <w:p w14:paraId="36E35617" w14:textId="7639A2F9" w:rsidR="002637E4" w:rsidRDefault="002637E4">
      <w:pPr>
        <w:pStyle w:val="CommentText"/>
      </w:pPr>
      <w:r>
        <w:rPr>
          <w:rStyle w:val="CommentReference"/>
        </w:rPr>
        <w:annotationRef/>
      </w:r>
      <w:r>
        <w:t>Gene flow might still be lower, but still high enough to offset effect of genetic drift</w:t>
      </w:r>
    </w:p>
  </w:comment>
  <w:comment w:id="27" w:author="Author" w:initials="A">
    <w:p w14:paraId="64C58683" w14:textId="3D72CA5D" w:rsidR="002637E4" w:rsidRDefault="002637E4">
      <w:pPr>
        <w:pStyle w:val="CommentText"/>
      </w:pPr>
      <w:r>
        <w:rPr>
          <w:rStyle w:val="CommentReference"/>
        </w:rPr>
        <w:annotationRef/>
      </w:r>
      <w:r>
        <w:t>But did urban areas have lower genetic diversity?</w:t>
      </w:r>
    </w:p>
  </w:comment>
  <w:comment w:id="28" w:author="Author" w:initials="A">
    <w:p w14:paraId="571064D3" w14:textId="740F7376" w:rsidR="002637E4" w:rsidRDefault="002637E4">
      <w:pPr>
        <w:pStyle w:val="CommentText"/>
      </w:pPr>
      <w:r>
        <w:rPr>
          <w:rStyle w:val="CommentReference"/>
        </w:rPr>
        <w:annotationRef/>
      </w:r>
      <w:r>
        <w:t>Speculative. I would test if there was indeed lower genetic diversity in cities before making such statements.</w:t>
      </w:r>
    </w:p>
  </w:comment>
  <w:comment w:id="29" w:author="Author" w:initials="A">
    <w:p w14:paraId="6C8EFA95" w14:textId="0692229F" w:rsidR="002637E4" w:rsidRDefault="002637E4">
      <w:pPr>
        <w:pStyle w:val="CommentText"/>
      </w:pPr>
      <w:r>
        <w:rPr>
          <w:rStyle w:val="CommentReference"/>
        </w:rPr>
        <w:annotationRef/>
      </w:r>
      <w:r>
        <w:t>Interesting but doesn’t fit with study objectives in my opinion, maybe shorten?</w:t>
      </w:r>
    </w:p>
  </w:comment>
  <w:comment w:id="30" w:author="Author" w:initials="A">
    <w:p w14:paraId="6F8AEE4D" w14:textId="71B758AE" w:rsidR="002637E4" w:rsidRDefault="002637E4">
      <w:pPr>
        <w:pStyle w:val="CommentText"/>
      </w:pPr>
      <w:r>
        <w:rPr>
          <w:rStyle w:val="CommentReference"/>
        </w:rPr>
        <w:annotationRef/>
      </w:r>
      <w:r>
        <w:t>Does the government need to be thanked for this?</w:t>
      </w:r>
    </w:p>
  </w:comment>
  <w:comment w:id="31" w:author="Author" w:initials="A">
    <w:p w14:paraId="0062D548" w14:textId="04EA9815" w:rsidR="002637E4" w:rsidRDefault="002637E4">
      <w:pPr>
        <w:pStyle w:val="CommentText"/>
      </w:pPr>
      <w:r>
        <w:rPr>
          <w:rStyle w:val="CommentReference"/>
        </w:rPr>
        <w:annotationRef/>
      </w:r>
      <w:r>
        <w:t>Make names consistent with the ones in Sup Table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10EF8D" w15:done="0"/>
  <w15:commentEx w15:paraId="2C8C80AC" w15:done="0"/>
  <w15:commentEx w15:paraId="3115F075" w15:done="0"/>
  <w15:commentEx w15:paraId="21B5C43A" w15:done="0"/>
  <w15:commentEx w15:paraId="53DDAA30" w15:done="0"/>
  <w15:commentEx w15:paraId="47D611C0" w15:done="0"/>
  <w15:commentEx w15:paraId="648C630A" w15:done="0"/>
  <w15:commentEx w15:paraId="456D4A6E" w15:done="0"/>
  <w15:commentEx w15:paraId="3AABE10C" w15:done="0"/>
  <w15:commentEx w15:paraId="68A5DBA0" w15:done="0"/>
  <w15:commentEx w15:paraId="2E155945" w15:done="0"/>
  <w15:commentEx w15:paraId="040E7E74" w15:done="0"/>
  <w15:commentEx w15:paraId="3B15E3D2" w15:done="0"/>
  <w15:commentEx w15:paraId="61D98609" w15:done="0"/>
  <w15:commentEx w15:paraId="66D7EFFF" w15:done="0"/>
  <w15:commentEx w15:paraId="0BC53950" w15:done="0"/>
  <w15:commentEx w15:paraId="1128EDAA" w15:done="0"/>
  <w15:commentEx w15:paraId="69CBC694" w15:done="0"/>
  <w15:commentEx w15:paraId="66CAD81D" w15:done="0"/>
  <w15:commentEx w15:paraId="08CEA263" w15:done="0"/>
  <w15:commentEx w15:paraId="2EE6BE1F" w15:done="0"/>
  <w15:commentEx w15:paraId="26E8401C" w15:done="0"/>
  <w15:commentEx w15:paraId="68F7F1CE" w15:done="0"/>
  <w15:commentEx w15:paraId="6B789816" w15:done="0"/>
  <w15:commentEx w15:paraId="36E35617" w15:done="0"/>
  <w15:commentEx w15:paraId="64C58683" w15:done="0"/>
  <w15:commentEx w15:paraId="571064D3" w15:done="0"/>
  <w15:commentEx w15:paraId="6C8EFA95" w15:done="0"/>
  <w15:commentEx w15:paraId="6F8AEE4D" w15:done="0"/>
  <w15:commentEx w15:paraId="0062D5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E7C95" w14:textId="77777777" w:rsidR="005C7766" w:rsidRDefault="005C7766" w:rsidP="001E1E6D">
      <w:pPr>
        <w:spacing w:after="0" w:line="240" w:lineRule="auto"/>
      </w:pPr>
      <w:r>
        <w:separator/>
      </w:r>
    </w:p>
  </w:endnote>
  <w:endnote w:type="continuationSeparator" w:id="0">
    <w:p w14:paraId="0B05F210" w14:textId="77777777" w:rsidR="005C7766" w:rsidRDefault="005C7766"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06019F1B" w:rsidR="002637E4" w:rsidRDefault="002637E4">
        <w:pPr>
          <w:pStyle w:val="Footer"/>
          <w:jc w:val="right"/>
        </w:pPr>
        <w:r>
          <w:fldChar w:fldCharType="begin"/>
        </w:r>
        <w:r>
          <w:instrText xml:space="preserve"> PAGE   \* MERGEFORMAT </w:instrText>
        </w:r>
        <w:r>
          <w:fldChar w:fldCharType="separate"/>
        </w:r>
        <w:r w:rsidR="00FC5BA6">
          <w:rPr>
            <w:noProof/>
          </w:rPr>
          <w:t>4</w:t>
        </w:r>
        <w:r>
          <w:rPr>
            <w:noProof/>
          </w:rPr>
          <w:fldChar w:fldCharType="end"/>
        </w:r>
      </w:p>
    </w:sdtContent>
  </w:sdt>
  <w:p w14:paraId="12BA5F2B" w14:textId="77777777" w:rsidR="002637E4" w:rsidRDefault="00263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5EC82" w14:textId="77777777" w:rsidR="005C7766" w:rsidRDefault="005C7766" w:rsidP="001E1E6D">
      <w:pPr>
        <w:spacing w:after="0" w:line="240" w:lineRule="auto"/>
      </w:pPr>
      <w:r>
        <w:separator/>
      </w:r>
    </w:p>
  </w:footnote>
  <w:footnote w:type="continuationSeparator" w:id="0">
    <w:p w14:paraId="5FB24885" w14:textId="77777777" w:rsidR="005C7766" w:rsidRDefault="005C7766"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2"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1933"/>
    <w:rsid w:val="00032E08"/>
    <w:rsid w:val="00036544"/>
    <w:rsid w:val="00036CA6"/>
    <w:rsid w:val="00037499"/>
    <w:rsid w:val="00041655"/>
    <w:rsid w:val="00042AA8"/>
    <w:rsid w:val="000451BB"/>
    <w:rsid w:val="0005213E"/>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81B79"/>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714"/>
    <w:rsid w:val="0034214F"/>
    <w:rsid w:val="00344274"/>
    <w:rsid w:val="00345EE0"/>
    <w:rsid w:val="00350EF9"/>
    <w:rsid w:val="003544EA"/>
    <w:rsid w:val="00355D79"/>
    <w:rsid w:val="003641EA"/>
    <w:rsid w:val="003715BB"/>
    <w:rsid w:val="003738E5"/>
    <w:rsid w:val="00375753"/>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34C1"/>
    <w:rsid w:val="003E4714"/>
    <w:rsid w:val="003F191B"/>
    <w:rsid w:val="003F3CD1"/>
    <w:rsid w:val="003F4671"/>
    <w:rsid w:val="003F4DD2"/>
    <w:rsid w:val="003F591F"/>
    <w:rsid w:val="003F7365"/>
    <w:rsid w:val="0040773A"/>
    <w:rsid w:val="004139F1"/>
    <w:rsid w:val="004178A9"/>
    <w:rsid w:val="00422AF5"/>
    <w:rsid w:val="00436105"/>
    <w:rsid w:val="004366C6"/>
    <w:rsid w:val="00437A70"/>
    <w:rsid w:val="00442A50"/>
    <w:rsid w:val="00444634"/>
    <w:rsid w:val="00445354"/>
    <w:rsid w:val="00453707"/>
    <w:rsid w:val="00455797"/>
    <w:rsid w:val="00460569"/>
    <w:rsid w:val="00463806"/>
    <w:rsid w:val="00463D7C"/>
    <w:rsid w:val="00475EE8"/>
    <w:rsid w:val="00480B08"/>
    <w:rsid w:val="004866D5"/>
    <w:rsid w:val="00490598"/>
    <w:rsid w:val="004937A4"/>
    <w:rsid w:val="004966DF"/>
    <w:rsid w:val="004A34B4"/>
    <w:rsid w:val="004A3BDF"/>
    <w:rsid w:val="004A7CCA"/>
    <w:rsid w:val="004B144A"/>
    <w:rsid w:val="004C1C22"/>
    <w:rsid w:val="004C2CEB"/>
    <w:rsid w:val="004C4610"/>
    <w:rsid w:val="004D4FD0"/>
    <w:rsid w:val="004E191E"/>
    <w:rsid w:val="004E1993"/>
    <w:rsid w:val="004E41E0"/>
    <w:rsid w:val="004E4302"/>
    <w:rsid w:val="004E5F81"/>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7B"/>
    <w:rsid w:val="005B3379"/>
    <w:rsid w:val="005B55B5"/>
    <w:rsid w:val="005B5671"/>
    <w:rsid w:val="005B7760"/>
    <w:rsid w:val="005C0B5C"/>
    <w:rsid w:val="005C10E1"/>
    <w:rsid w:val="005C3158"/>
    <w:rsid w:val="005C38C0"/>
    <w:rsid w:val="005C7766"/>
    <w:rsid w:val="005D347F"/>
    <w:rsid w:val="005E357A"/>
    <w:rsid w:val="005E37F6"/>
    <w:rsid w:val="005E6B61"/>
    <w:rsid w:val="005F1C2F"/>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39BE"/>
    <w:rsid w:val="00636AF0"/>
    <w:rsid w:val="00636BB1"/>
    <w:rsid w:val="00637938"/>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114A"/>
    <w:rsid w:val="00927A67"/>
    <w:rsid w:val="00933051"/>
    <w:rsid w:val="009344A9"/>
    <w:rsid w:val="0093680B"/>
    <w:rsid w:val="00940C28"/>
    <w:rsid w:val="00941A24"/>
    <w:rsid w:val="00942DD8"/>
    <w:rsid w:val="00943E08"/>
    <w:rsid w:val="0094407B"/>
    <w:rsid w:val="00944BEF"/>
    <w:rsid w:val="00952767"/>
    <w:rsid w:val="009541B6"/>
    <w:rsid w:val="00960A6C"/>
    <w:rsid w:val="009626DC"/>
    <w:rsid w:val="00965DCE"/>
    <w:rsid w:val="00967E5E"/>
    <w:rsid w:val="00970970"/>
    <w:rsid w:val="009722A5"/>
    <w:rsid w:val="00974BF7"/>
    <w:rsid w:val="00976057"/>
    <w:rsid w:val="009767CB"/>
    <w:rsid w:val="00977992"/>
    <w:rsid w:val="009802B6"/>
    <w:rsid w:val="00981423"/>
    <w:rsid w:val="009826ED"/>
    <w:rsid w:val="009874C5"/>
    <w:rsid w:val="00992412"/>
    <w:rsid w:val="009955F0"/>
    <w:rsid w:val="009965BE"/>
    <w:rsid w:val="00996A9D"/>
    <w:rsid w:val="009A1A0A"/>
    <w:rsid w:val="009A26C0"/>
    <w:rsid w:val="009A6F39"/>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4D9B"/>
    <w:rsid w:val="009F6975"/>
    <w:rsid w:val="009F7E71"/>
    <w:rsid w:val="00A02467"/>
    <w:rsid w:val="00A028A4"/>
    <w:rsid w:val="00A0565C"/>
    <w:rsid w:val="00A05CC9"/>
    <w:rsid w:val="00A06ACD"/>
    <w:rsid w:val="00A215A4"/>
    <w:rsid w:val="00A22CD3"/>
    <w:rsid w:val="00A24A4C"/>
    <w:rsid w:val="00A2784D"/>
    <w:rsid w:val="00A31406"/>
    <w:rsid w:val="00A33B45"/>
    <w:rsid w:val="00A36BC4"/>
    <w:rsid w:val="00A42945"/>
    <w:rsid w:val="00A4653C"/>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66F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D646D"/>
    <w:rsid w:val="00CD6AAF"/>
    <w:rsid w:val="00CD7732"/>
    <w:rsid w:val="00CE0B8D"/>
    <w:rsid w:val="00CE3258"/>
    <w:rsid w:val="00CE3BBC"/>
    <w:rsid w:val="00CE5988"/>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6B2A"/>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8C8"/>
    <w:rsid w:val="00DB796E"/>
    <w:rsid w:val="00DC0EE0"/>
    <w:rsid w:val="00DC0F04"/>
    <w:rsid w:val="00DC4EF5"/>
    <w:rsid w:val="00DD15EF"/>
    <w:rsid w:val="00DD1B89"/>
    <w:rsid w:val="00DE620A"/>
    <w:rsid w:val="00DE7D58"/>
    <w:rsid w:val="00DF31E7"/>
    <w:rsid w:val="00DF4911"/>
    <w:rsid w:val="00DF580F"/>
    <w:rsid w:val="00E02B01"/>
    <w:rsid w:val="00E03377"/>
    <w:rsid w:val="00E04BED"/>
    <w:rsid w:val="00E06A24"/>
    <w:rsid w:val="00E07818"/>
    <w:rsid w:val="00E07C04"/>
    <w:rsid w:val="00E154E0"/>
    <w:rsid w:val="00E2503E"/>
    <w:rsid w:val="00E2777C"/>
    <w:rsid w:val="00E30521"/>
    <w:rsid w:val="00E353A8"/>
    <w:rsid w:val="00E35C57"/>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7063"/>
    <w:rsid w:val="00ED7E29"/>
    <w:rsid w:val="00EE0087"/>
    <w:rsid w:val="00EE0E59"/>
    <w:rsid w:val="00EE29EB"/>
    <w:rsid w:val="00EF01BC"/>
    <w:rsid w:val="00EF055D"/>
    <w:rsid w:val="00EF094F"/>
    <w:rsid w:val="00EF4A3A"/>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3B5D"/>
    <w:rsid w:val="00F63CEE"/>
    <w:rsid w:val="00F67664"/>
    <w:rsid w:val="00F706A2"/>
    <w:rsid w:val="00F74088"/>
    <w:rsid w:val="00F758B1"/>
    <w:rsid w:val="00F76287"/>
    <w:rsid w:val="00F80074"/>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84C"/>
    <w:rsid w:val="00FF3E30"/>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21187-5C97-4C8C-BBE7-AC8A8F4CB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46426</Words>
  <Characters>292488</Characters>
  <Application>Microsoft Office Word</Application>
  <DocSecurity>0</DocSecurity>
  <Lines>2437</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2023-01-06T14:40:00Z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zotero-version="6.0.19"&gt;&lt;session id="MKL9AAlz"/&gt;&lt;style id="http://www.zotero.org/styles/biological-conservation" hasBibliography="1" bibliographyStyleHasBeenSet="1"/&gt;&lt;prefs&gt;&lt;pref name="fieldType" value="Field"/&gt;&lt;/prefs&gt;&lt;/data&gt;</vt:lpwstr>
  </property>
</Properties>
</file>