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1,2</w:t>
      </w:r>
      <w:r w:rsidR="006B5EEF">
        <w:rPr>
          <w:vertAlign w:val="superscript"/>
        </w:rPr>
        <w:t>,*</w:t>
      </w:r>
      <w:r w:rsidRPr="00766375">
        <w:t xml:space="preserve">, </w:t>
      </w:r>
      <w:r w:rsidR="002C6FBA">
        <w:t>Stéphanie Lippert</w:t>
      </w:r>
      <w:r w:rsidR="003C460F">
        <w:t xml:space="preserve"> </w:t>
      </w:r>
      <w:r w:rsidR="002C6FBA" w:rsidRPr="00766375">
        <w:rPr>
          <w:vertAlign w:val="superscript"/>
        </w:rPr>
        <w:t>1,2</w:t>
      </w:r>
      <w:r w:rsidR="002C6FBA">
        <w:t xml:space="preserve">, Amanda </w:t>
      </w:r>
      <w:proofErr w:type="spellStart"/>
      <w:r w:rsidR="002C6FBA">
        <w:t>Luttringer</w:t>
      </w:r>
      <w:proofErr w:type="spellEnd"/>
      <w:r w:rsidR="003C460F">
        <w:t xml:space="preserve"> </w:t>
      </w:r>
      <w:r w:rsidR="002C6FBA" w:rsidRPr="00766375">
        <w:rPr>
          <w:vertAlign w:val="superscript"/>
        </w:rPr>
        <w:t>1,2</w:t>
      </w:r>
      <w:r w:rsidR="002C6FBA">
        <w:t>,</w:t>
      </w:r>
      <w:r w:rsidR="00857256">
        <w:t xml:space="preserve"> </w:t>
      </w:r>
      <w:proofErr w:type="spellStart"/>
      <w:r w:rsidR="00857256">
        <w:t>Hinatea</w:t>
      </w:r>
      <w:proofErr w:type="spellEnd"/>
      <w:r w:rsidR="00857256">
        <w:t xml:space="preserve"> </w:t>
      </w:r>
      <w:proofErr w:type="spellStart"/>
      <w:r w:rsidR="00857256">
        <w:t>Ariey</w:t>
      </w:r>
      <w:proofErr w:type="spellEnd"/>
      <w:r w:rsidR="003C460F">
        <w:t xml:space="preserve"> </w:t>
      </w:r>
      <w:r w:rsidR="00857256" w:rsidRPr="00766375">
        <w:rPr>
          <w:vertAlign w:val="superscript"/>
        </w:rPr>
        <w:t>1,2</w:t>
      </w:r>
      <w:r w:rsidR="00857256">
        <w:t xml:space="preserve">, </w:t>
      </w:r>
      <w:r w:rsidR="003C6F7C">
        <w:t xml:space="preserve">Anna </w:t>
      </w:r>
      <w:proofErr w:type="spellStart"/>
      <w:r w:rsidR="003C6F7C">
        <w:t>Schleimer</w:t>
      </w:r>
      <w:proofErr w:type="spellEnd"/>
      <w:r w:rsidR="003C6F7C" w:rsidRPr="00766375">
        <w:t xml:space="preserve"> </w:t>
      </w:r>
      <w:r w:rsidR="003C6F7C" w:rsidRPr="00766375">
        <w:rPr>
          <w:vertAlign w:val="superscript"/>
        </w:rPr>
        <w:t>1,2</w:t>
      </w:r>
      <w:r w:rsidR="003C6F7C">
        <w:t xml:space="preserve">, </w:t>
      </w:r>
      <w:r w:rsidR="007563F2">
        <w:t>Frank Drygala</w:t>
      </w:r>
      <w:r w:rsidR="003C460F">
        <w:t xml:space="preserve"> </w:t>
      </w:r>
      <w:r w:rsidR="003C460F">
        <w:rPr>
          <w:vertAlign w:val="superscript"/>
        </w:rPr>
        <w:t>3</w:t>
      </w:r>
      <w:r w:rsidR="007563F2">
        <w:t xml:space="preserve">, </w:t>
      </w:r>
      <w:r w:rsidR="007563F2" w:rsidRPr="002C6FBA">
        <w:t>Joerg Mehnert</w:t>
      </w:r>
      <w:r w:rsidR="003C460F">
        <w:t xml:space="preserve"> </w:t>
      </w:r>
      <w:r w:rsidR="003C460F">
        <w:rPr>
          <w:vertAlign w:val="superscript"/>
        </w:rPr>
        <w:t>3</w:t>
      </w:r>
      <w:r w:rsidR="007563F2">
        <w:t xml:space="preserve">, </w:t>
      </w:r>
      <w:r w:rsidRPr="00766375">
        <w:t xml:space="preserve"> </w:t>
      </w:r>
      <w:r w:rsidR="00A22CD3" w:rsidRPr="00766375">
        <w:t xml:space="preserve">Ximo Mengual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62042F91" w:rsidR="00766375" w:rsidRDefault="00766375" w:rsidP="006F501D">
      <w:pPr>
        <w:rPr>
          <w:lang w:val="de-LU"/>
        </w:rPr>
      </w:pPr>
      <w:r w:rsidRPr="00F44CF5">
        <w:rPr>
          <w:lang w:val="de-LU"/>
        </w:rPr>
        <w:t xml:space="preserve">2: </w:t>
      </w:r>
      <w:proofErr w:type="spellStart"/>
      <w:r w:rsidRPr="00F44CF5">
        <w:rPr>
          <w:lang w:val="de-LU"/>
        </w:rPr>
        <w:t>Fondation</w:t>
      </w:r>
      <w:proofErr w:type="spellEnd"/>
      <w:r w:rsidRPr="00F44CF5">
        <w:rPr>
          <w:lang w:val="de-LU"/>
        </w:rPr>
        <w:t xml:space="preserve"> Faune-Flore, 24, </w:t>
      </w:r>
      <w:proofErr w:type="spellStart"/>
      <w:r w:rsidRPr="00F44CF5">
        <w:rPr>
          <w:lang w:val="de-LU"/>
        </w:rPr>
        <w:t>rue</w:t>
      </w:r>
      <w:proofErr w:type="spellEnd"/>
      <w:r w:rsidRPr="00F44CF5">
        <w:rPr>
          <w:lang w:val="de-LU"/>
        </w:rPr>
        <w:t xml:space="preserve"> </w:t>
      </w:r>
      <w:proofErr w:type="spellStart"/>
      <w:r w:rsidRPr="00F44CF5">
        <w:rPr>
          <w:lang w:val="de-LU"/>
        </w:rPr>
        <w:t>Muenster</w:t>
      </w:r>
      <w:proofErr w:type="spellEnd"/>
      <w:r w:rsidRPr="00F44CF5">
        <w:rPr>
          <w:lang w:val="de-LU"/>
        </w:rPr>
        <w:t>, L-2160, Luxembourg, Luxembourg</w:t>
      </w:r>
    </w:p>
    <w:p w14:paraId="55A1BAFF" w14:textId="3A12B52F" w:rsidR="003C460F" w:rsidRPr="00927ECD" w:rsidRDefault="003C460F" w:rsidP="002637E4">
      <w:r w:rsidRPr="00927ECD">
        <w:t xml:space="preserve">3: </w:t>
      </w:r>
      <w:r w:rsidR="002637E4" w:rsidRPr="00927ECD">
        <w:t xml:space="preserve">Association for Nature and Biodiversity, 16 </w:t>
      </w:r>
      <w:proofErr w:type="spellStart"/>
      <w:r w:rsidR="002637E4" w:rsidRPr="00927ECD">
        <w:t>Birsteiner</w:t>
      </w:r>
      <w:proofErr w:type="spellEnd"/>
      <w:r w:rsidR="002637E4" w:rsidRPr="00927ECD">
        <w:t xml:space="preserve"> </w:t>
      </w:r>
      <w:proofErr w:type="spellStart"/>
      <w:proofErr w:type="gramStart"/>
      <w:r w:rsidR="002637E4" w:rsidRPr="00927ECD">
        <w:t>Strasse</w:t>
      </w:r>
      <w:proofErr w:type="spellEnd"/>
      <w:r w:rsidR="002637E4" w:rsidRPr="00927ECD">
        <w:t xml:space="preserve">  60386</w:t>
      </w:r>
      <w:proofErr w:type="gramEnd"/>
      <w:r w:rsidR="002637E4" w:rsidRPr="00927ECD">
        <w:t xml:space="preserve">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proofErr w:type="spellStart"/>
      <w:r w:rsidR="00766375" w:rsidRPr="00766375">
        <w:rPr>
          <w:lang w:val="de-LU"/>
        </w:rPr>
        <w:t>Koenig</w:t>
      </w:r>
      <w:proofErr w:type="spellEnd"/>
      <w:r w:rsidR="00766375" w:rsidRPr="00766375">
        <w:rPr>
          <w:lang w:val="de-LU"/>
        </w:rPr>
        <w:t>,</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r w:rsidR="00886812" w:rsidRPr="00886812">
        <w:rPr>
          <w:i/>
        </w:rPr>
        <w:t>Syritta</w:t>
      </w:r>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w:t>
      </w:r>
      <w:proofErr w:type="spellStart"/>
      <w:r w:rsidR="00597D43">
        <w:t>panmixia</w:t>
      </w:r>
      <w:proofErr w:type="spellEnd"/>
      <w:r w:rsidR="00597D43">
        <w:t xml:space="preserve">,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t>
      </w:r>
      <w:proofErr w:type="gramStart"/>
      <w:r w:rsidR="0085682B">
        <w:t>was not correlated</w:t>
      </w:r>
      <w:proofErr w:type="gramEnd"/>
      <w:r w:rsidR="0085682B">
        <w:t xml:space="preserve">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proofErr w:type="gramStart"/>
      <w:r w:rsidR="00165F8F">
        <w:t>Spatial</w:t>
      </w:r>
      <w:proofErr w:type="gramEnd"/>
      <w:r w:rsidR="00165F8F">
        <w:t xml:space="preserve">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723B1BB8" w14:textId="309E2F99" w:rsidR="00E2777C" w:rsidRPr="004F113E" w:rsidRDefault="006F501D" w:rsidP="00E2777C">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r w:rsidR="00FC4285" w:rsidRPr="00154AA8">
        <w:fldChar w:fldCharType="begin"/>
      </w:r>
      <w:r w:rsidR="00FC5BA6">
        <w:instrText xml:space="preserve"> ADDIN ZOTERO_ITEM CSL_CITATION {"citationID":"WJjGesSR","properties":{"formattedCitation":"(Dreier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5BA6" w:rsidRPr="00FC5BA6">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FC5BA6">
        <w:instrText xml:space="preserve"> ADDIN ZOTERO_ITEM CSL_CITATION {"citationID":"U2H564Zh","properties":{"formattedCitation":"(Dicks et al., 2013; Simmons et al., 2019)","plainCitation":"(Dicks et al., 2013; Simmons et al., 2019)","noteIndex":0},"citationItems":[{"id":13143,"uris":["http://zotero.org/users/4948104/items/4QL7CHES"],"itemData":{"id":13143,"type":"article-journal","abstract":"In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J."}],"issued":{"date-parts":[["2013"]]}}},{"id":13572,"uris":["http://zotero.org/users/4948104/items/KFPYWME3"],"itemData":{"id":13572,"type":"article-journal","abstract":"A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A."},{"family":"Finch","given":"Tom"}],"issued":{"date-parts":[["2019"]]}}}],"schema":"https://github.com/citation-style-language/schema/raw/master/csl-citation.json"} </w:instrText>
      </w:r>
      <w:r w:rsidR="00E2777C">
        <w:fldChar w:fldCharType="separate"/>
      </w:r>
      <w:r w:rsidR="00FC5BA6" w:rsidRPr="00FC5BA6">
        <w:rPr>
          <w:rFonts w:cs="Times New Roman"/>
          <w:lang w:val="fr-FR"/>
        </w:rPr>
        <w:t>(Dicks et al., 2013; Simmons et al., 2019)</w:t>
      </w:r>
      <w:r w:rsidR="00E2777C">
        <w:fldChar w:fldCharType="end"/>
      </w:r>
      <w:r w:rsidR="00E2777C" w:rsidRPr="00E2777C">
        <w:rPr>
          <w:lang w:val="fr-LU"/>
        </w:rPr>
        <w:t>.</w:t>
      </w:r>
      <w:r w:rsidR="00FC5BA6" w:rsidRPr="00FC5BA6">
        <w:rPr>
          <w:lang w:val="fr-FR"/>
        </w:rPr>
        <w:t xml:space="preserve"> </w:t>
      </w:r>
      <w:r w:rsidR="00FC5BA6">
        <w:rPr>
          <w:lang w:val="fr-FR"/>
        </w:rPr>
        <w:fldChar w:fldCharType="begin"/>
      </w:r>
      <w:r w:rsidR="00FC5BA6">
        <w:rPr>
          <w:lang w:val="fr-FR"/>
        </w:rPr>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p>
    <w:p w14:paraId="33D9172C" w14:textId="77777777" w:rsidR="00FC5BA6" w:rsidRPr="00FC5BA6" w:rsidRDefault="00FC5BA6" w:rsidP="00E2777C"/>
    <w:p w14:paraId="16F58FAE" w14:textId="273A7CA6"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proofErr w:type="spellStart"/>
      <w:r w:rsidR="00535169" w:rsidRPr="002E69EC">
        <w:rPr>
          <w:i/>
        </w:rPr>
        <w:t>Bombus</w:t>
      </w:r>
      <w:proofErr w:type="spellEnd"/>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t>
      </w:r>
      <w:r w:rsidR="008D42AB">
        <w:lastRenderedPageBreak/>
        <w:t>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p>
    <w:p w14:paraId="7EB5C571" w14:textId="4D48169F" w:rsidR="006F501D" w:rsidRPr="001E1572" w:rsidRDefault="006C38B2" w:rsidP="006F501D">
      <w:r w:rsidRPr="00036544">
        <w:t xml:space="preserve">Hoverflies (Syrphidae)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w:t>
      </w:r>
      <w:proofErr w:type="gramStart"/>
      <w:r w:rsidR="00A0565C">
        <w:t>have been conducted</w:t>
      </w:r>
      <w:proofErr w:type="gramEnd"/>
      <w:r w:rsidR="00A0565C">
        <w:t xml:space="preserve"> about the population dynamics of hoverflies, often focusing their migrations, hoverflies</w:t>
      </w:r>
      <w:r w:rsidR="00A0565C" w:rsidRPr="00036544">
        <w:t xml:space="preserve"> are understudied</w:t>
      </w:r>
      <w:r w:rsidR="00A0565C">
        <w:t xml:space="preserve"> relative to bees. In particular, l</w:t>
      </w:r>
      <w:r w:rsidR="00A0565C" w:rsidRPr="00847839">
        <w:t xml:space="preserve">ittle </w:t>
      </w:r>
      <w:proofErr w:type="gramStart"/>
      <w:r w:rsidR="00A0565C" w:rsidRPr="00847839">
        <w:t>is known</w:t>
      </w:r>
      <w:proofErr w:type="gramEnd"/>
      <w:r w:rsidR="00A0565C" w:rsidRPr="00847839">
        <w:t xml:space="preserve">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xml:space="preserve">, but such methods </w:t>
      </w:r>
      <w:proofErr w:type="gramStart"/>
      <w:r w:rsidR="00E07818">
        <w:t>have seldom been used</w:t>
      </w:r>
      <w:proofErr w:type="gramEnd"/>
      <w:r w:rsidR="00E07818">
        <w:t xml:space="preserve">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8D42AB">
        <w:t xml:space="preserve"> evaluated through genetic similarity between individuals</w:t>
      </w:r>
      <w:r w:rsidR="009C3DBF">
        <w:t xml:space="preserve">, which is directly related to dispersal as genes are propagated by </w:t>
      </w:r>
      <w:r w:rsidR="009C3DBF">
        <w:lastRenderedPageBreak/>
        <w:t xml:space="preserve">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w:t>
      </w:r>
      <w:proofErr w:type="gramStart"/>
      <w:r w:rsidR="00A24A4C" w:rsidRPr="00582A5D">
        <w:t>has</w:t>
      </w:r>
      <w:r w:rsidR="00B4316E" w:rsidRPr="00582A5D">
        <w:t xml:space="preserve"> </w:t>
      </w:r>
      <w:r w:rsidR="00A24A4C" w:rsidRPr="00582A5D">
        <w:t>never been studied</w:t>
      </w:r>
      <w:proofErr w:type="gramEnd"/>
      <w:r w:rsidR="00B4316E" w:rsidRPr="00582A5D">
        <w:t xml:space="preserve"> to our knowledge</w:t>
      </w:r>
      <w:r w:rsidR="00A24A4C" w:rsidRPr="00582A5D">
        <w:t>.</w:t>
      </w:r>
    </w:p>
    <w:p w14:paraId="102249EE" w14:textId="77777777" w:rsidR="00D443B6" w:rsidRDefault="00F62E1C" w:rsidP="006F501D">
      <w:r>
        <w:t>Germany and Luxembourg both present very high landscape fragmentation as measured by the number of meshes per km</w:t>
      </w:r>
      <w:r>
        <w:rPr>
          <w:vertAlign w:val="superscript"/>
        </w:rPr>
        <w:t>2</w:t>
      </w:r>
      <w:r>
        <w:t xml:space="preserve"> and </w:t>
      </w:r>
      <w:r w:rsidR="005D02E1">
        <w:t>the propo</w:t>
      </w:r>
      <w:r w:rsidR="00E0572E">
        <w:t>rtion of the country’s total surface</w:t>
      </w:r>
      <w:r w:rsidR="005D02E1">
        <w:t xml:space="preserve"> experiencing high to very high fragmentation</w:t>
      </w:r>
      <w:r w:rsidR="00B5130F">
        <w:t xml:space="preserve"> </w:t>
      </w:r>
      <w:r w:rsidR="00B5130F">
        <w:fldChar w:fldCharType="begin"/>
      </w:r>
      <w:r w:rsidR="00B5130F">
        <w:instrText xml:space="preserve"> ADDIN ZOTERO_ITEM CSL_CITATION {"citationID":"jWDe8F0u","properties":{"formattedCitation":"(European Environment Agency, 2016)","plainCitation":"(European Environment Agency, 2016)","noteIndex":0},"citationItems":[{"id":13743,"uris":["http://zotero.org/users/4948104/items/GLC47PEG"],"itemData":{"id":13743,"type":"report","title":"Landscape fragmentation Effective Mesh Density: major and medium anthropogenic fragmenting elements (FGA2-S) - version 2.0, Nov. 2016","URL":"https://sdi.eea.europa.eu/catalogue/srv/api/records/98d63709-5a79-44a8-ac5b-fd9a08466bf1","author":[{"literal":"European Environment Agency"}],"accessed":{"date-parts":[["2023",10,1]]},"issued":{"date-parts":[["2016"]]}}}],"schema":"https://github.com/citation-style-language/schema/raw/master/csl-citation.json"} </w:instrText>
      </w:r>
      <w:r w:rsidR="00B5130F">
        <w:fldChar w:fldCharType="separate"/>
      </w:r>
      <w:r w:rsidR="00B5130F" w:rsidRPr="00B5130F">
        <w:rPr>
          <w:rFonts w:cs="Times New Roman"/>
        </w:rPr>
        <w:t>(European Environment Agency, 2016)</w:t>
      </w:r>
      <w:r w:rsidR="00B5130F">
        <w:fldChar w:fldCharType="end"/>
      </w:r>
      <w:r w:rsidRPr="00154AA8">
        <w:t xml:space="preserve">. </w:t>
      </w:r>
      <w:r w:rsidR="00637B94" w:rsidRPr="00154AA8">
        <w:t xml:space="preserve">Because of demographic growth, land use change for new infrastructure and urban development </w:t>
      </w:r>
      <w:proofErr w:type="gramStart"/>
      <w:r w:rsidR="00637B94" w:rsidRPr="00154AA8">
        <w:t>is expected</w:t>
      </w:r>
      <w:proofErr w:type="gramEnd"/>
      <w:r w:rsidR="00637B94" w:rsidRPr="00154AA8">
        <w:t xml:space="preserve"> to be considerable</w:t>
      </w:r>
      <w:r w:rsidR="00637B94">
        <w:t xml:space="preserve"> even in already heavily urbanized</w:t>
      </w:r>
      <w:r>
        <w:t>.</w:t>
      </w:r>
      <w:r w:rsidR="00637B94" w:rsidRPr="00154AA8">
        <w:t xml:space="preserve"> This, in turn, will lead to further loss and fragmentation of natural and semi-natural habitats </w:t>
      </w:r>
      <w:r w:rsidR="00637B94" w:rsidRPr="00154AA8">
        <w:fldChar w:fldCharType="begin"/>
      </w:r>
      <w:r w:rsidR="00B5130F">
        <w:instrText xml:space="preserve"> ADDIN ZOTERO_ITEM CSL_CITATION {"citationID":"H0OnzQeC","properties":{"formattedCitation":"(Jaeger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637B94" w:rsidRPr="00154AA8">
        <w:fldChar w:fldCharType="separate"/>
      </w:r>
      <w:r w:rsidR="00637B94" w:rsidRPr="00154AA8">
        <w:rPr>
          <w:rFonts w:cs="Times New Roman"/>
        </w:rPr>
        <w:t>(Jaeger et al., 2016)</w:t>
      </w:r>
      <w:r w:rsidR="00637B94" w:rsidRPr="00154AA8">
        <w:fldChar w:fldCharType="end"/>
      </w:r>
      <w:r w:rsidR="00637B94" w:rsidRPr="00154AA8">
        <w:t xml:space="preserve">. Cologne is the fourth-most populous city in Germany and recently commissioned a major inventory of pollinators </w:t>
      </w:r>
      <w:r w:rsidR="00637B94" w:rsidRPr="00154AA8">
        <w:fldChar w:fldCharType="begin"/>
      </w:r>
      <w:r w:rsidR="00B5130F">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637B94" w:rsidRPr="00154AA8">
        <w:fldChar w:fldCharType="separate"/>
      </w:r>
      <w:r w:rsidR="00637B94" w:rsidRPr="00154AA8">
        <w:rPr>
          <w:rFonts w:cs="Times New Roman"/>
          <w:szCs w:val="24"/>
        </w:rPr>
        <w:t>(Stadt Köln, 2022)</w:t>
      </w:r>
      <w:r w:rsidR="00637B94" w:rsidRPr="00154AA8">
        <w:fldChar w:fldCharType="end"/>
      </w:r>
      <w:r w:rsidR="00637B94" w:rsidRPr="00154AA8">
        <w:t>, notably stimulated</w:t>
      </w:r>
      <w:r>
        <w:t xml:space="preserve"> by</w:t>
      </w:r>
      <w:r w:rsidR="00637B94" w:rsidRPr="00154AA8">
        <w:t xml:space="preserve"> recent findings about country-wide</w:t>
      </w:r>
      <w:r w:rsidR="00637B94">
        <w:t xml:space="preserve"> insect declines </w:t>
      </w:r>
      <w:r w:rsidR="00637B94">
        <w:fldChar w:fldCharType="begin"/>
      </w:r>
      <w:r w:rsidR="00B5130F">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637B94">
        <w:fldChar w:fldCharType="separate"/>
      </w:r>
      <w:r w:rsidR="00637B94" w:rsidRPr="00777B20">
        <w:rPr>
          <w:rFonts w:cs="Times New Roman"/>
        </w:rPr>
        <w:t>(Hallmann et al., 2017; Seibold et al., 2019)</w:t>
      </w:r>
      <w:r w:rsidR="00637B94">
        <w:fldChar w:fldCharType="end"/>
      </w:r>
      <w:r w:rsidR="00637B94" w:rsidRPr="00154AA8">
        <w:t xml:space="preserve">. Luxembourg has recognized that habitat loss and fragmentation are threatening its biodiversity in general and insect pollinators in particular </w:t>
      </w:r>
      <w:r w:rsidR="00637B94" w:rsidRPr="00154AA8">
        <w:fldChar w:fldCharType="begin"/>
      </w:r>
      <w:r w:rsidR="00B5130F">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637B94" w:rsidRPr="00154AA8">
        <w:fldChar w:fldCharType="separate"/>
      </w:r>
      <w:r w:rsidR="00637B94" w:rsidRPr="00154AA8">
        <w:rPr>
          <w:rFonts w:cs="Times New Roman"/>
          <w:szCs w:val="24"/>
        </w:rPr>
        <w:t>(Ministère de l’Environnement, du Climat et du Développement durable, 2022)</w:t>
      </w:r>
      <w:r w:rsidR="00637B94" w:rsidRPr="00154AA8">
        <w:fldChar w:fldCharType="end"/>
      </w:r>
      <w:r w:rsidR="00637B94" w:rsidRPr="00154AA8">
        <w:t xml:space="preserve">. 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connectivity </w:t>
      </w:r>
      <w:bookmarkStart w:id="1" w:name="_GoBack"/>
      <w:r w:rsidR="00637B94" w:rsidRPr="00154AA8">
        <w:t>of the landscape</w:t>
      </w:r>
      <w:bookmarkEnd w:id="1"/>
      <w:r w:rsidR="00637B94" w:rsidRPr="00154AA8">
        <w:t xml:space="preserve"> from the viewpoint of the pollinator </w:t>
      </w:r>
      <w:r w:rsidR="00637B94" w:rsidRPr="00154AA8">
        <w:fldChar w:fldCharType="begin"/>
      </w:r>
      <w:r w:rsidR="00B5130F">
        <w:instrText xml:space="preserve"> ADDIN ZOTERO_ITEM CSL_CITATION {"citationID":"4QWr2ubx","properties":{"formattedCitation":"(Dreier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637B94" w:rsidRPr="00154AA8">
        <w:fldChar w:fldCharType="separate"/>
      </w:r>
      <w:r w:rsidR="00637B94" w:rsidRPr="00154AA8">
        <w:rPr>
          <w:rFonts w:cs="Times New Roman"/>
        </w:rPr>
        <w:t xml:space="preserve">(Dreier et al., 2014; </w:t>
      </w:r>
      <w:proofErr w:type="spellStart"/>
      <w:r w:rsidR="00637B94" w:rsidRPr="00154AA8">
        <w:rPr>
          <w:rFonts w:cs="Times New Roman"/>
        </w:rPr>
        <w:t>Rands</w:t>
      </w:r>
      <w:proofErr w:type="spellEnd"/>
      <w:r w:rsidR="00637B94" w:rsidRPr="00154AA8">
        <w:rPr>
          <w:rFonts w:cs="Times New Roman"/>
        </w:rPr>
        <w:t>, 2014)</w:t>
      </w:r>
      <w:r w:rsidR="00637B94" w:rsidRPr="00154AA8">
        <w:fldChar w:fldCharType="end"/>
      </w:r>
      <w:r w:rsidR="00637B94" w:rsidRPr="00154AA8">
        <w:t>.</w:t>
      </w:r>
    </w:p>
    <w:p w14:paraId="465A46EC" w14:textId="18ED6BB5" w:rsidR="00965DCE" w:rsidRDefault="00D443B6" w:rsidP="006F501D">
      <w:pPr>
        <w:rPr>
          <w:b/>
        </w:rPr>
      </w:pPr>
      <w:r w:rsidRPr="00BA4EDB">
        <w:t>In this study, we investigate</w:t>
      </w:r>
      <w:r>
        <w:t>d</w:t>
      </w:r>
      <w:r w:rsidRPr="00BA4EDB">
        <w:t xml:space="preserve"> the genetic diversity, structure</w:t>
      </w:r>
      <w:r>
        <w:t>,</w:t>
      </w:r>
      <w:r w:rsidRPr="00BA4EDB">
        <w:t xml:space="preserve"> </w:t>
      </w:r>
      <w:r>
        <w:t xml:space="preserve">IBD, isolation-by-environment (IBE) </w:t>
      </w:r>
      <w:r w:rsidRPr="00582A5D">
        <w:t>of two species</w:t>
      </w:r>
      <w:r w:rsidRPr="00BA4EDB">
        <w:t xml:space="preserve"> of hoverflies</w:t>
      </w:r>
      <w:r>
        <w:t xml:space="preserve">, </w:t>
      </w:r>
      <w:r w:rsidRPr="00E72226">
        <w:rPr>
          <w:i/>
          <w:iCs/>
        </w:rPr>
        <w:t>Syritta</w:t>
      </w:r>
      <w:r>
        <w:rPr>
          <w:i/>
        </w:rPr>
        <w:t xml:space="preserve"> pipiens</w:t>
      </w:r>
      <w:r>
        <w:t xml:space="preserve"> (Linnaeus, 1758; henceforth abbreviated to SP) and </w:t>
      </w:r>
      <w:r>
        <w:rPr>
          <w:i/>
        </w:rPr>
        <w:t xml:space="preserve">Myathropa florea </w:t>
      </w:r>
      <w:r>
        <w:t>(Linnaeus, 1758; MF), based on</w:t>
      </w:r>
      <w:r>
        <w:rPr>
          <w:i/>
        </w:rPr>
        <w:t xml:space="preserve"> </w:t>
      </w:r>
      <w:r>
        <w:t xml:space="preserve">thousands of individuals in two </w:t>
      </w:r>
      <w:r w:rsidRPr="00BA4EDB">
        <w:t>urbanized landscapes</w:t>
      </w:r>
      <w:r>
        <w:t xml:space="preserve"> in </w:t>
      </w:r>
      <w:r>
        <w:t>Germany and Luxembourg</w:t>
      </w:r>
      <w:r w:rsidRPr="00BA4EDB">
        <w:t>.</w:t>
      </w:r>
      <w:r>
        <w:t xml:space="preserve"> </w:t>
      </w:r>
      <w:r w:rsidR="00497378">
        <w:t>We hypothesized that 1) given the non-migratory nature of our two species and</w:t>
      </w:r>
      <w:r w:rsidR="00497378" w:rsidRPr="00582A5D">
        <w:t xml:space="preserve"> the large distance between study areas (ca. 150 km)</w:t>
      </w:r>
      <w:r w:rsidR="00497378">
        <w:t xml:space="preserve">, </w:t>
      </w:r>
      <w:r w:rsidR="00497378">
        <w:lastRenderedPageBreak/>
        <w:t>substantial genetic differentiation and IBD exist between study areas</w:t>
      </w:r>
      <w:r w:rsidR="0006107C" w:rsidRPr="00582A5D">
        <w:t xml:space="preserve"> </w:t>
      </w:r>
      <w:r w:rsidR="00582A5D" w:rsidRPr="00582A5D">
        <w:t xml:space="preserve">and the large </w:t>
      </w:r>
      <w:r w:rsidR="0006107C" w:rsidRPr="00582A5D">
        <w:t xml:space="preserve">extent </w:t>
      </w:r>
      <w:r w:rsidR="00582A5D" w:rsidRPr="00582A5D">
        <w:t>of</w:t>
      </w:r>
      <w:r w:rsidR="00582A5D">
        <w:t xml:space="preserve"> </w:t>
      </w:r>
      <w:commentRangeStart w:id="2"/>
      <w:r w:rsidR="00A61678">
        <w:t>unvegetated impervious areas</w:t>
      </w:r>
      <w:r w:rsidR="006D0E61">
        <w:t xml:space="preserve"> present in and around cities</w:t>
      </w:r>
      <w:r w:rsidR="00A61678">
        <w:t>.</w:t>
      </w:r>
      <w:commentRangeEnd w:id="2"/>
      <w:r w:rsidR="003F7365">
        <w:rPr>
          <w:rStyle w:val="CommentReference"/>
        </w:rPr>
        <w:commentReference w:id="2"/>
      </w:r>
    </w:p>
    <w:p w14:paraId="3EC87C79" w14:textId="4DA49D39" w:rsidR="00B34036" w:rsidRDefault="00B34036" w:rsidP="001E1E6D">
      <w:pPr>
        <w:pStyle w:val="Heading1"/>
      </w:pPr>
      <w:r w:rsidRPr="00B34036">
        <w:t>METHODS</w:t>
      </w:r>
    </w:p>
    <w:p w14:paraId="1ACA9D0E" w14:textId="46DA0B2C" w:rsidR="001E1E6D" w:rsidRDefault="00265C11" w:rsidP="00265C11">
      <w:pPr>
        <w:pStyle w:val="Heading2"/>
        <w:numPr>
          <w:ilvl w:val="1"/>
          <w:numId w:val="1"/>
        </w:numPr>
      </w:pPr>
      <w:r w:rsidRPr="00265C11">
        <w:t xml:space="preserve"> </w:t>
      </w:r>
      <w:proofErr w:type="gramStart"/>
      <w:r w:rsidRPr="00265C11">
        <w:t>|</w:t>
      </w:r>
      <w:r>
        <w:t xml:space="preserve">  </w:t>
      </w:r>
      <w:r w:rsidR="001E1E6D" w:rsidRPr="001E1E6D">
        <w:t>S</w:t>
      </w:r>
      <w:r>
        <w:t>tudy</w:t>
      </w:r>
      <w:proofErr w:type="gramEnd"/>
      <w:r>
        <w:t xml:space="preserve"> areas, </w:t>
      </w:r>
      <w:r w:rsidR="00E56156">
        <w:t>s</w:t>
      </w:r>
      <w:r w:rsidR="00E56156" w:rsidRPr="001E1E6D">
        <w:t>tudy organisms</w:t>
      </w:r>
      <w:r w:rsidR="00E56156">
        <w:t xml:space="preserve">, </w:t>
      </w:r>
      <w:r>
        <w:t>and sampling</w:t>
      </w:r>
    </w:p>
    <w:p w14:paraId="696CEE92" w14:textId="5FFD065A" w:rsidR="007B48A4" w:rsidRDefault="005B7760" w:rsidP="00BC7A53">
      <w:r>
        <w:t>To evaluate the genetic connectivity of hoverflies in the face of disturbance, we chose two urbanized study areas</w:t>
      </w:r>
      <w:r w:rsidR="006E2CF9">
        <w:t xml:space="preserve"> (Fig. 1)</w:t>
      </w:r>
      <w:r w:rsidR="002C7B2D">
        <w:t xml:space="preserve">. </w:t>
      </w:r>
      <w:r w:rsidR="00CC35FB">
        <w:t>We chose a</w:t>
      </w:r>
      <w:r w:rsidR="002C7B2D">
        <w:t>n extent</w:t>
      </w:r>
      <w:r w:rsidR="002C7B2D" w:rsidRPr="002C7B2D">
        <w:t xml:space="preserve"> </w:t>
      </w:r>
      <w:r w:rsidR="002C7B2D">
        <w:t>of around 400km</w:t>
      </w:r>
      <w:r w:rsidR="002C7B2D">
        <w:rPr>
          <w:vertAlign w:val="superscript"/>
        </w:rPr>
        <w:t xml:space="preserve">2 </w:t>
      </w:r>
      <w:r w:rsidR="002C7B2D">
        <w:t>for each study area. This specific extent is a key parameter because</w:t>
      </w:r>
      <w:r w:rsidR="00974BF7">
        <w:t xml:space="preserve"> </w:t>
      </w:r>
      <w:r>
        <w:t xml:space="preserve">it </w:t>
      </w:r>
      <w:r w:rsidR="00974BF7">
        <w:t>allow</w:t>
      </w:r>
      <w:r w:rsidR="00582A5D">
        <w:t>ed</w:t>
      </w:r>
      <w:r w:rsidR="00974BF7">
        <w:t xml:space="preserve"> us to sample the whole landscape to improve the accuracy of our inferences, </w:t>
      </w:r>
      <w:r w:rsidR="00546B6C">
        <w:t xml:space="preserve">while being large enough </w:t>
      </w:r>
      <w:r w:rsidR="001722B1">
        <w:t>to</w:t>
      </w:r>
      <w:r w:rsidR="00974BF7">
        <w:t xml:space="preserve"> detect</w:t>
      </w:r>
      <w:r w:rsidR="001722B1">
        <w:t xml:space="preserve"> potential</w:t>
      </w:r>
      <w:r w:rsidR="00974BF7">
        <w:t xml:space="preserve"> effects of </w:t>
      </w:r>
      <w:r w:rsidR="00546B6C">
        <w:t>large-scale anthropogenic disturbance on genetic variation</w:t>
      </w:r>
      <w:r w:rsidR="001722B1">
        <w:t>.</w:t>
      </w:r>
      <w:r w:rsidR="00ED0178">
        <w:t xml:space="preserve"> </w:t>
      </w:r>
      <w:r w:rsidR="00007B93" w:rsidRPr="00154AA8">
        <w:t xml:space="preserve">Cologne recently commissioned a major inventory of pollinators </w:t>
      </w:r>
      <w:r w:rsidR="00007B93" w:rsidRPr="00154AA8">
        <w:fldChar w:fldCharType="begin"/>
      </w:r>
      <w:r w:rsidR="00B5130F">
        <w:instrText xml:space="preserve"> ADDIN ZOTERO_ITEM CSL_CITATION {"citationID":"dodqtjwu","properties":{"formattedCitation":"(Stadt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007B93" w:rsidRPr="00154AA8">
        <w:fldChar w:fldCharType="separate"/>
      </w:r>
      <w:r w:rsidR="00FC5BA6" w:rsidRPr="00FC5BA6">
        <w:rPr>
          <w:rFonts w:cs="Times New Roman"/>
          <w:szCs w:val="24"/>
        </w:rPr>
        <w:t>(Stadt Köln, 2022)</w:t>
      </w:r>
      <w:r w:rsidR="00007B93" w:rsidRPr="00154AA8">
        <w:fldChar w:fldCharType="end"/>
      </w:r>
      <w:r w:rsidR="006E2CF9">
        <w:t xml:space="preserve">, </w:t>
      </w:r>
      <w:r w:rsidR="00007B93" w:rsidRPr="00154AA8">
        <w:t>stimulat</w:t>
      </w:r>
      <w:r w:rsidR="006E2CF9">
        <w:t>ing</w:t>
      </w:r>
      <w:r w:rsidR="00007B93" w:rsidRPr="00154AA8">
        <w:t xml:space="preserve"> recent findings about country-wide</w:t>
      </w:r>
      <w:r w:rsidR="00007B93">
        <w:t xml:space="preserve"> insect declines </w:t>
      </w:r>
      <w:r w:rsidR="00007B93">
        <w:fldChar w:fldCharType="begin"/>
      </w:r>
      <w:r w:rsidR="00B5130F">
        <w:instrText xml:space="preserve"> ADDIN ZOTERO_ITEM CSL_CITATION {"citationID":"lDiyHQl2","properties":{"formattedCitation":"(Hallmann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007B93">
        <w:fldChar w:fldCharType="separate"/>
      </w:r>
      <w:r w:rsidR="00FC5BA6" w:rsidRPr="00FC5BA6">
        <w:rPr>
          <w:rFonts w:cs="Times New Roman"/>
        </w:rPr>
        <w:t>(Hallmann et al., 2017; Seibold et al., 2019)</w:t>
      </w:r>
      <w:r w:rsidR="00007B93">
        <w:fldChar w:fldCharType="end"/>
      </w:r>
      <w:r w:rsidR="00007B93" w:rsidRPr="00154AA8">
        <w:t xml:space="preserve">. Luxembourg has recognized that habitat loss and fragmentation are threatening its biodiversity in general and insect pollinators in particular </w:t>
      </w:r>
      <w:r w:rsidR="00007B93" w:rsidRPr="00154AA8">
        <w:fldChar w:fldCharType="begin"/>
      </w:r>
      <w:r w:rsidR="00B5130F">
        <w:instrText xml:space="preserve"> ADDIN ZOTERO_ITEM CSL_CITATION {"citationID":"2ZumrymT","properties":{"formattedCitation":"(Minist\\uc0\\u232{}re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007B93" w:rsidRPr="00154AA8">
        <w:fldChar w:fldCharType="separate"/>
      </w:r>
      <w:r w:rsidR="00FC5BA6" w:rsidRPr="00FC5BA6">
        <w:rPr>
          <w:rFonts w:cs="Times New Roman"/>
          <w:szCs w:val="24"/>
        </w:rPr>
        <w:t>(Ministère de l’Environnement, du Climat et du Développement durable, 2022)</w:t>
      </w:r>
      <w:r w:rsidR="00007B93" w:rsidRPr="00154AA8">
        <w:fldChar w:fldCharType="end"/>
      </w:r>
      <w:r w:rsidR="00007B93" w:rsidRPr="00154AA8">
        <w:t>.</w:t>
      </w:r>
      <w:r w:rsidR="00007B93">
        <w:t xml:space="preserve"> </w:t>
      </w:r>
      <w:r w:rsidR="0039100B">
        <w:t>The</w:t>
      </w:r>
      <w:r w:rsidR="00ED0178">
        <w:t xml:space="preserve"> </w:t>
      </w:r>
      <w:r w:rsidR="0039100B">
        <w:t xml:space="preserve">shape of the Luxembourg study area was chosen to </w:t>
      </w:r>
      <w:r w:rsidR="009A1A0A">
        <w:t>include</w:t>
      </w:r>
      <w:r w:rsidR="00A93CCF" w:rsidRPr="00A93CCF">
        <w:t xml:space="preserve"> </w:t>
      </w:r>
      <w:r>
        <w:t>most</w:t>
      </w:r>
      <w:r w:rsidR="00A93CCF" w:rsidRPr="00A93CCF">
        <w:t xml:space="preserve"> parts of the urban sprawl </w:t>
      </w:r>
      <w:r w:rsidR="009A1A0A">
        <w:t xml:space="preserve">between the </w:t>
      </w:r>
      <w:r w:rsidR="0039100B">
        <w:t>two largest urban agglomerations in the country</w:t>
      </w:r>
      <w:r w:rsidR="009A1A0A">
        <w:t xml:space="preserve"> (</w:t>
      </w:r>
      <w:r w:rsidR="0039100B">
        <w:t xml:space="preserve">Luxembourg and </w:t>
      </w:r>
      <w:r w:rsidR="0039100B" w:rsidRPr="0039100B">
        <w:t>Esch-sur-Alzette</w:t>
      </w:r>
      <w:r w:rsidR="009A1A0A">
        <w:t>),</w:t>
      </w:r>
      <w:r w:rsidR="00A93CCF">
        <w:t xml:space="preserve"> </w:t>
      </w:r>
      <w:r w:rsidR="00A93CCF" w:rsidRPr="00A93CCF">
        <w:t xml:space="preserve">as well as sufficient amount of adjoining countryside. </w:t>
      </w:r>
      <w:r w:rsidR="00797571">
        <w:t>The Cologne study area focused on administrative city limits</w:t>
      </w:r>
      <w:r w:rsidR="003216BF">
        <w:t xml:space="preserve"> as it fit our requirements</w:t>
      </w:r>
      <w:r w:rsidR="00797571">
        <w:t>.</w:t>
      </w:r>
      <w:r w:rsidR="003216BF">
        <w:t xml:space="preserve"> Indeed, although </w:t>
      </w:r>
      <w:r w:rsidR="006E2CF9">
        <w:t>Cologne</w:t>
      </w:r>
      <w:r w:rsidR="00ED0178">
        <w:t xml:space="preserve"> </w:t>
      </w:r>
      <w:r w:rsidR="003216BF" w:rsidRPr="003216BF">
        <w:t xml:space="preserve">is the </w:t>
      </w:r>
      <w:r w:rsidR="00C31CC8">
        <w:t>fourth most populous and the third largest</w:t>
      </w:r>
      <w:r w:rsidR="003216BF" w:rsidRPr="003216BF">
        <w:t xml:space="preserve"> city in Germany</w:t>
      </w:r>
      <w:r w:rsidR="00C31CC8">
        <w:t>,</w:t>
      </w:r>
      <w:r w:rsidR="003216BF">
        <w:t xml:space="preserve"> it </w:t>
      </w:r>
      <w:r w:rsidR="003216BF" w:rsidRPr="003216BF">
        <w:t>has</w:t>
      </w:r>
      <w:r w:rsidR="00C31CC8">
        <w:t xml:space="preserve"> </w:t>
      </w:r>
      <w:r w:rsidR="003216BF" w:rsidRPr="003216BF">
        <w:t>a large number</w:t>
      </w:r>
      <w:r w:rsidR="00C31CC8">
        <w:t xml:space="preserve"> </w:t>
      </w:r>
      <w:r w:rsidR="003216BF" w:rsidRPr="003216BF">
        <w:t>of green surfaces, protected areas, riparian forest fragments and wetland</w:t>
      </w:r>
      <w:r w:rsidR="00C31CC8">
        <w:t>s</w:t>
      </w:r>
      <w:r w:rsidR="003216BF" w:rsidRPr="003216BF">
        <w:t xml:space="preserve"> </w:t>
      </w:r>
      <w:r w:rsidR="00ED0178">
        <w:fldChar w:fldCharType="begin"/>
      </w:r>
      <w:r w:rsidR="00FC5BA6">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ED0178">
        <w:fldChar w:fldCharType="separate"/>
      </w:r>
      <w:r w:rsidR="00FC5BA6" w:rsidRPr="00FC5BA6">
        <w:rPr>
          <w:rFonts w:cs="Times New Roman"/>
        </w:rPr>
        <w:t>(Braun and Herold, 2004; Curdes, 1998; Mitter and Weber, 2011)</w:t>
      </w:r>
      <w:r w:rsidR="00ED0178">
        <w:fldChar w:fldCharType="end"/>
      </w:r>
      <w:r w:rsidR="003216BF" w:rsidRPr="003216BF">
        <w:t>.</w:t>
      </w:r>
    </w:p>
    <w:p w14:paraId="02F63F2A" w14:textId="2B6FB87E" w:rsidR="00267577" w:rsidRDefault="00E72226" w:rsidP="00BC7A53">
      <w:r>
        <w:t>As study organisms, we</w:t>
      </w:r>
      <w:r w:rsidR="001360C3">
        <w:t xml:space="preserve"> chose</w:t>
      </w:r>
      <w:r>
        <w:t xml:space="preserve">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 xml:space="preserve">individual per squared kilometer in order to have as few gaps in geographical coverage as possible, following a uniform grid. The analytical purpose of this sampling design was to decrease bias and improve our accuracy in </w:t>
      </w:r>
      <w:r>
        <w:lastRenderedPageBreak/>
        <w:t>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(Kleijn and van Langevelde, 2006)</w:t>
      </w:r>
      <w:r w:rsidR="001722B1">
        <w:fldChar w:fldCharType="end"/>
      </w:r>
      <w:r w:rsidR="006E2CF9">
        <w:t xml:space="preserve">. Samples were caught using </w:t>
      </w:r>
      <w:proofErr w:type="gramStart"/>
      <w:r w:rsidR="006E2CF9">
        <w:t>hand-netting</w:t>
      </w:r>
      <w:proofErr w:type="gramEnd"/>
      <w:r w:rsidR="006E2CF9">
        <w:t xml:space="preserve"> and stored in </w:t>
      </w:r>
      <w:r w:rsidR="004F113E">
        <w:t>96</w:t>
      </w:r>
      <w:r w:rsidR="006E2CF9">
        <w:t>% ethanol</w:t>
      </w:r>
      <w:r w:rsidR="00CE0B8D">
        <w:t xml:space="preserve"> in the field and kept in a freezer</w:t>
      </w:r>
      <w:r w:rsidR="006E2CF9">
        <w:t xml:space="preserve"> until further processing.</w:t>
      </w:r>
      <w:r w:rsidR="006B5DAF">
        <w:t xml:space="preserve"> Species identity </w:t>
      </w:r>
      <w:proofErr w:type="gramStart"/>
      <w:r w:rsidR="006B5DAF">
        <w:t>was confirmed</w:t>
      </w:r>
      <w:proofErr w:type="gramEnd"/>
      <w:r w:rsidR="006B5DAF">
        <w:t xml:space="preserve"> </w:t>
      </w:r>
      <w:r w:rsidR="004F113E">
        <w:t>visually as both species bea</w:t>
      </w:r>
      <w:r w:rsidR="006B43A3">
        <w:t>r obvious and unique characters</w:t>
      </w:r>
      <w:r w:rsidR="00380B61">
        <w:t>, which made misidentification unlikely</w:t>
      </w:r>
      <w:r w:rsidR="006B43A3">
        <w:t xml:space="preserve">. Namely, those were </w:t>
      </w:r>
      <w:r w:rsidR="004F113E">
        <w:t xml:space="preserve">a thick </w:t>
      </w:r>
      <w:r w:rsidR="006B43A3">
        <w:t>overdeveloped</w:t>
      </w:r>
      <w:r w:rsidR="004F113E">
        <w:t xml:space="preserve"> hind femur</w:t>
      </w:r>
      <w:r w:rsidR="006B43A3">
        <w:t xml:space="preserve"> with a row of spines and</w:t>
      </w:r>
      <w:r w:rsidR="004F113E">
        <w:t xml:space="preserve"> </w:t>
      </w:r>
      <w:r w:rsidR="006B43A3">
        <w:t xml:space="preserve">a pair of small pale marks on the dorsal side of the thorax just behind the head </w:t>
      </w:r>
      <w:r w:rsidR="004F113E">
        <w:t>for SP</w:t>
      </w:r>
      <w:r w:rsidR="00380B61">
        <w:t>, and bright yellow color and a black “</w:t>
      </w:r>
      <w:r w:rsidR="00380B61" w:rsidRPr="00380B61">
        <w:t>Bat-Signal</w:t>
      </w:r>
      <w:r w:rsidR="00380B61">
        <w:t>” shape on the dorsal posterior part of the thorax for MF</w:t>
      </w:r>
      <w:r w:rsidR="006B5DAF">
        <w:t>.</w:t>
      </w:r>
    </w:p>
    <w:p w14:paraId="1F5D8536" w14:textId="6D5177A0" w:rsidR="00D802C3" w:rsidRPr="00F27A6C" w:rsidRDefault="00734882" w:rsidP="00D802C3">
      <w:r>
        <w:rPr>
          <w:noProof/>
          <w:lang w:val="de-LU" w:eastAsia="de-LU"/>
        </w:rPr>
        <w:drawing>
          <wp:inline distT="0" distB="0" distL="0" distR="0" wp14:anchorId="69673852" wp14:editId="7535FB3D">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01AB91FE" w14:textId="1343B418" w:rsidR="00D802C3" w:rsidRPr="0079323A"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r w:rsidR="00437A70" w:rsidRPr="00437A70">
        <w:rPr>
          <w:i/>
        </w:rPr>
        <w:t>Syritta pipiens</w:t>
      </w:r>
      <w:r w:rsidR="00437A70">
        <w:t xml:space="preserve"> (green) sample locations. Point size reflects sample size from one to six. Shaded areas represent urban areas with impervious soils. </w:t>
      </w:r>
    </w:p>
    <w:p w14:paraId="0F6B9CAA" w14:textId="395D362F" w:rsidR="00265C11" w:rsidRDefault="00265C11" w:rsidP="00265C11">
      <w:pPr>
        <w:pStyle w:val="Heading2"/>
        <w:numPr>
          <w:ilvl w:val="1"/>
          <w:numId w:val="1"/>
        </w:numPr>
      </w:pPr>
      <w:r>
        <w:t xml:space="preserve"> </w:t>
      </w:r>
      <w:proofErr w:type="gramStart"/>
      <w:r w:rsidRPr="00265C11">
        <w:t>|</w:t>
      </w:r>
      <w:r>
        <w:t xml:space="preserve">  Laboratory</w:t>
      </w:r>
      <w:proofErr w:type="gramEnd"/>
      <w:r>
        <w:t xml:space="preserve"> procedures</w:t>
      </w:r>
    </w:p>
    <w:p w14:paraId="34CE2782" w14:textId="5EE367A4" w:rsidR="00EB338F" w:rsidRPr="00A05CC9" w:rsidRDefault="006B5DAF" w:rsidP="00EB338F">
      <w:commentRangeStart w:id="3"/>
      <w:r>
        <w:t xml:space="preserve">One leg of each sample </w:t>
      </w:r>
      <w:commentRangeEnd w:id="3"/>
      <w:r>
        <w:rPr>
          <w:rStyle w:val="CommentReference"/>
        </w:rPr>
        <w:commentReference w:id="3"/>
      </w:r>
      <w:r>
        <w:t xml:space="preserve">was placed in an Eppendorf tube and grinded by </w:t>
      </w:r>
      <w:proofErr w:type="spellStart"/>
      <w:r>
        <w:t>vortexing</w:t>
      </w:r>
      <w:proofErr w:type="spellEnd"/>
      <w:r>
        <w:t xml:space="preserve"> with two ceramic beads. Genomic </w:t>
      </w:r>
      <w:r w:rsidR="00A05CC9">
        <w:t xml:space="preserve">DNA was </w:t>
      </w:r>
      <w:r>
        <w:t xml:space="preserve">subsequently </w:t>
      </w:r>
      <w:r w:rsidR="00A05CC9">
        <w:t xml:space="preserve">extracted using an ammonium acetate-based </w:t>
      </w:r>
      <w:r w:rsidR="00A05CC9">
        <w:lastRenderedPageBreak/>
        <w:t xml:space="preserve">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xml:space="preserve">. DNA extracts </w:t>
      </w:r>
      <w:proofErr w:type="gramStart"/>
      <w:r w:rsidR="00A05CC9">
        <w:t>were quantified</w:t>
      </w:r>
      <w:proofErr w:type="gramEnd"/>
      <w:r w:rsidR="00A05CC9">
        <w:t xml:space="preserve"> using a Drop-Sense 16 spectrophotometer (</w:t>
      </w:r>
      <w:proofErr w:type="spellStart"/>
      <w:r w:rsidR="00A05CC9">
        <w:t>Trinean</w:t>
      </w:r>
      <w:proofErr w:type="spellEnd"/>
      <w:r w:rsidR="00A05CC9">
        <w:t xml:space="preserve">, </w:t>
      </w:r>
      <w:proofErr w:type="spellStart"/>
      <w:r w:rsidR="00A05CC9">
        <w:t>Gentbrugge</w:t>
      </w:r>
      <w:proofErr w:type="spellEnd"/>
      <w:r w:rsidR="00A05CC9">
        <w:t xml:space="preserv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1" w:history="1">
        <w:r w:rsidR="00BC463B" w:rsidRPr="001F7A46">
          <w:rPr>
            <w:i/>
          </w:rPr>
          <w:t>S</w:t>
        </w:r>
        <w:r w:rsidR="0094407B">
          <w:rPr>
            <w:i/>
          </w:rPr>
          <w:t>.</w:t>
        </w:r>
        <w:r w:rsidR="00BC463B" w:rsidRPr="001F7A46">
          <w:rPr>
            <w:i/>
          </w:rPr>
          <w:t xml:space="preserve"> pipiens</w:t>
        </w:r>
        <w:r w:rsidR="00BC463B" w:rsidRPr="001F7A46">
          <w:t> (assembly idSyrPipi1.1)</w:t>
        </w:r>
      </w:hyperlink>
      <w:r w:rsidR="00703021">
        <w:t xml:space="preserve"> and against an ‘in-</w:t>
      </w:r>
      <w:r w:rsidR="00D6243C">
        <w:t>progress</w:t>
      </w:r>
      <w:r w:rsidR="00703021">
        <w:t xml:space="preserve"> assembly’ of the genome of </w:t>
      </w:r>
      <w:r w:rsidR="00703021" w:rsidRPr="002E69EC">
        <w:rPr>
          <w:i/>
        </w:rPr>
        <w:t>M</w:t>
      </w:r>
      <w:r w:rsidR="0094407B">
        <w:rPr>
          <w:i/>
        </w:rPr>
        <w:t>.</w:t>
      </w:r>
      <w:r w:rsidR="00703021" w:rsidRPr="002E69EC">
        <w:rPr>
          <w:i/>
        </w:rPr>
        <w:t xml:space="preserve"> florea</w:t>
      </w:r>
      <w:r w:rsidR="00703021">
        <w:t xml:space="preserve"> (20200119.hicanu.purge) obtained from </w:t>
      </w:r>
      <w:r w:rsidR="00703021" w:rsidRPr="00703021">
        <w:t>Darwin Tree of Life Project</w:t>
      </w:r>
      <w:r w:rsidR="00703021">
        <w:t xml:space="preserve"> (</w:t>
      </w:r>
      <w:hyperlink r:id="rId12"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proofErr w:type="gramStart"/>
      <w:r w:rsidR="001C4D16" w:rsidRPr="0011014D">
        <w:t>1x</w:t>
      </w:r>
      <w:proofErr w:type="gramEnd"/>
      <w:r w:rsidR="001C4D16" w:rsidRPr="0011014D">
        <w:t xml:space="preserve"> </w:t>
      </w:r>
      <w:r w:rsidR="001C4D16">
        <w:t xml:space="preserve">GoTaq Master Mix (Promega, </w:t>
      </w:r>
      <w:r w:rsidR="001C4D16" w:rsidRPr="000B71A5">
        <w:t xml:space="preserve">Walldorf, </w:t>
      </w:r>
      <w:commentRangeStart w:id="4"/>
      <w:r w:rsidR="001C4D16" w:rsidRPr="000B71A5">
        <w:t>Germany</w:t>
      </w:r>
      <w:r w:rsidR="001C4D16" w:rsidRPr="0011014D">
        <w:t>)</w:t>
      </w:r>
      <w:r w:rsidR="001C4D16">
        <w:t>,</w:t>
      </w:r>
      <w:r w:rsidR="001C4D16" w:rsidRPr="0011014D">
        <w:t xml:space="preserve"> 0.2 μM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t>
      </w:r>
      <w:proofErr w:type="gramStart"/>
      <w:r w:rsidR="00445354">
        <w:t>was ended</w:t>
      </w:r>
      <w:proofErr w:type="gramEnd"/>
      <w:r w:rsidR="00445354">
        <w:t xml:space="preserve"> with a final extension for 10 min at </w:t>
      </w:r>
      <w:r w:rsidR="009A26C0">
        <w:t>72</w:t>
      </w:r>
      <w:r w:rsidR="00445354">
        <w:t xml:space="preserve"> °C. </w:t>
      </w:r>
      <w:commentRangeEnd w:id="4"/>
      <w:r w:rsidR="00F27A6C">
        <w:rPr>
          <w:rStyle w:val="CommentReference"/>
        </w:rPr>
        <w:commentReference w:id="4"/>
      </w:r>
      <w:r w:rsidR="009A26C0">
        <w:t xml:space="preserve">The PCRs </w:t>
      </w:r>
      <w:proofErr w:type="gramStart"/>
      <w:r w:rsidR="009A26C0">
        <w:t>were performed</w:t>
      </w:r>
      <w:proofErr w:type="gramEnd"/>
      <w:r w:rsidR="009A26C0">
        <w:t xml:space="preserve"> in a Mastercycler nexus (Eppendorf, Hamburg, Germany).</w:t>
      </w:r>
      <w:r w:rsidR="00445354">
        <w:t xml:space="preserve"> </w:t>
      </w:r>
      <w:r w:rsidR="009A26C0">
        <w:t>L</w:t>
      </w:r>
      <w:r w:rsidR="00445354">
        <w:t>oci that were polymorphic</w:t>
      </w:r>
      <w:r w:rsidR="009A26C0">
        <w:t xml:space="preserve"> and that</w:t>
      </w:r>
      <w:r w:rsidR="00445354">
        <w:t xml:space="preserve"> gave rise to clear peaks </w:t>
      </w:r>
      <w:proofErr w:type="gramStart"/>
      <w:r w:rsidR="00445354">
        <w:t>were retained</w:t>
      </w:r>
      <w:proofErr w:type="gramEnd"/>
      <w:r w:rsidR="00445354">
        <w:t xml:space="preserve">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w:t>
      </w:r>
      <w:proofErr w:type="spellStart"/>
      <w:r w:rsidR="0076648F">
        <w:t>bp</w:t>
      </w:r>
      <w:proofErr w:type="spellEnd"/>
      <w:r w:rsidR="0076648F">
        <w:t xml:space="preserve">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05CC9" w:rsidRPr="008E709C">
        <w:rPr>
          <w:i/>
        </w:rPr>
        <w:t>S</w:t>
      </w:r>
      <w:r w:rsidR="0094407B">
        <w:rPr>
          <w:i/>
        </w:rPr>
        <w:t>.</w:t>
      </w:r>
      <w:r w:rsidR="00A05CC9" w:rsidRPr="008E709C">
        <w:rPr>
          <w:i/>
        </w:rPr>
        <w:t xml:space="preserve"> </w:t>
      </w:r>
      <w:proofErr w:type="gramStart"/>
      <w:r w:rsidR="00A05CC9" w:rsidRPr="008E709C">
        <w:rPr>
          <w:i/>
        </w:rPr>
        <w:t>pipiens</w:t>
      </w:r>
      <w:proofErr w:type="gramEnd"/>
      <w:r w:rsidR="00A05CC9">
        <w:t xml:space="preserve"> we </w:t>
      </w:r>
      <w:r w:rsidR="009A26C0">
        <w:t>retained</w:t>
      </w:r>
      <w:r w:rsidR="00A05CC9">
        <w:t xml:space="preserve"> </w:t>
      </w:r>
      <w:r w:rsidR="00767854">
        <w:t>14</w:t>
      </w:r>
      <w:r w:rsidR="00A05CC9">
        <w:t xml:space="preserve"> microsatellite loci that were amplified in two </w:t>
      </w:r>
      <w:r w:rsidR="009A26C0">
        <w:t xml:space="preserve">multiplex </w:t>
      </w:r>
      <w:r w:rsidR="00A05CC9">
        <w:t>PCR</w:t>
      </w:r>
      <w:r w:rsidR="009A26C0">
        <w:t xml:space="preserve">s, while the 24 microsatellite loci for </w:t>
      </w:r>
      <w:r w:rsidR="009A26C0" w:rsidRPr="008E709C">
        <w:rPr>
          <w:i/>
        </w:rPr>
        <w:t>M</w:t>
      </w:r>
      <w:r w:rsidR="0094407B">
        <w:rPr>
          <w:i/>
        </w:rPr>
        <w:t>.</w:t>
      </w:r>
      <w:r w:rsidR="009A26C0" w:rsidRPr="008E709C">
        <w:rPr>
          <w:i/>
        </w:rPr>
        <w:t xml:space="preserve"> florea</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proofErr w:type="gramStart"/>
      <w:r w:rsidR="00EB338F" w:rsidRPr="0011014D">
        <w:t>1x</w:t>
      </w:r>
      <w:proofErr w:type="gramEnd"/>
      <w:r w:rsidR="00EB338F" w:rsidRPr="0011014D">
        <w:t xml:space="preserve"> </w:t>
      </w:r>
      <w:r w:rsidR="00EB338F">
        <w:t xml:space="preserve">GoTaq Master Mix (Promega, </w:t>
      </w:r>
      <w:r w:rsidR="00EB338F" w:rsidRPr="000B71A5">
        <w:t>Walldorf, Germany</w:t>
      </w:r>
      <w:r w:rsidR="00EB338F" w:rsidRPr="0011014D">
        <w:t>)</w:t>
      </w:r>
      <w:r w:rsidR="00EB338F">
        <w:t>,</w:t>
      </w:r>
      <w:r w:rsidR="00EB338F" w:rsidRPr="0011014D">
        <w:t xml:space="preserve"> </w:t>
      </w:r>
      <w:r w:rsidR="00EB338F">
        <w:t xml:space="preserve">and between 0.1-0.4 μM of each primer (Table X). PCRs started with 3 min denaturation at 95 °C, followed by 35 cycles of denaturation at 94 °C for 30 s, annealing at 60°C for 45 s and extension at 72 °C for 30 s. The final incubation was at 72 °C for 10 min. Allele sizes were determined using GENEMAPPER version 4.0 (Applied </w:t>
      </w:r>
      <w:proofErr w:type="spellStart"/>
      <w:r w:rsidR="00EB338F">
        <w:t>Biosystems</w:t>
      </w:r>
      <w:proofErr w:type="spellEnd"/>
      <w:r w:rsidR="00EB338F">
        <w:t xml:space="preserve">). The genetic profiles of all </w:t>
      </w:r>
      <w:commentRangeStart w:id="5"/>
      <w:r w:rsidR="00EB338F">
        <w:t xml:space="preserve">samples consisted of at least </w:t>
      </w:r>
      <w:r w:rsidR="00EB338F" w:rsidRPr="009626DC">
        <w:t>11</w:t>
      </w:r>
      <w:r w:rsidR="00EB338F">
        <w:t xml:space="preserve"> loci for </w:t>
      </w:r>
      <w:r w:rsidR="00EB338F" w:rsidRPr="002E69EC">
        <w:rPr>
          <w:i/>
        </w:rPr>
        <w:t>S</w:t>
      </w:r>
      <w:r w:rsidR="0094407B">
        <w:rPr>
          <w:i/>
        </w:rPr>
        <w:t>.</w:t>
      </w:r>
      <w:r w:rsidR="00EB338F" w:rsidRPr="002E69EC">
        <w:rPr>
          <w:i/>
        </w:rPr>
        <w:t xml:space="preserve"> pipiens</w:t>
      </w:r>
      <w:r w:rsidR="00EB338F">
        <w:t xml:space="preserve"> and at least </w:t>
      </w:r>
      <w:r w:rsidR="00EB338F" w:rsidRPr="009626DC">
        <w:t>18</w:t>
      </w:r>
      <w:r w:rsidR="00EB338F">
        <w:t xml:space="preserve"> loci for </w:t>
      </w:r>
      <w:r w:rsidR="00EB338F" w:rsidRPr="002E69EC">
        <w:rPr>
          <w:i/>
        </w:rPr>
        <w:t>M</w:t>
      </w:r>
      <w:r w:rsidR="0094407B">
        <w:rPr>
          <w:i/>
        </w:rPr>
        <w:t>.</w:t>
      </w:r>
      <w:r w:rsidR="00EB338F" w:rsidRPr="002E69EC">
        <w:rPr>
          <w:i/>
        </w:rPr>
        <w:t xml:space="preserve"> florea</w:t>
      </w:r>
      <w:r w:rsidR="00EB338F">
        <w:t>.</w:t>
      </w:r>
      <w:commentRangeEnd w:id="5"/>
      <w:r w:rsidR="001F7A46">
        <w:rPr>
          <w:rStyle w:val="CommentReference"/>
        </w:rPr>
        <w:commentReference w:id="5"/>
      </w:r>
    </w:p>
    <w:p w14:paraId="4856C33F" w14:textId="23938E70" w:rsidR="003C4C9B" w:rsidRDefault="00BA40E3" w:rsidP="008F518D">
      <w:pPr>
        <w:pStyle w:val="Heading2"/>
        <w:numPr>
          <w:ilvl w:val="1"/>
          <w:numId w:val="1"/>
        </w:numPr>
      </w:pPr>
      <w:r>
        <w:t xml:space="preserve"> </w:t>
      </w:r>
      <w:proofErr w:type="gramStart"/>
      <w:r w:rsidR="00265C11">
        <w:t>|  Genetic</w:t>
      </w:r>
      <w:proofErr w:type="gramEnd"/>
      <w:r w:rsidR="00265C11">
        <w:t xml:space="preserve"> diversity</w:t>
      </w:r>
    </w:p>
    <w:p w14:paraId="39EFF0FE" w14:textId="1EB073AA" w:rsidR="00FE584C" w:rsidRPr="00D82B31" w:rsidRDefault="00DC0F04" w:rsidP="00736B58">
      <w:r>
        <w:lastRenderedPageBreak/>
        <w:t xml:space="preserve">To evaluate deviations from the Hardy-Weinberg equilibrium, we first split the dataset into two geographic populations corresponding to the study areas, and further divided genetic samples by communes (Luxembourg) and districts (Cologne). We only kept spatial units with more than 20 individuals for </w:t>
      </w:r>
      <w:r>
        <w:rPr>
          <w:i/>
        </w:rPr>
        <w:t>S. pipiens</w:t>
      </w:r>
      <w:r>
        <w:t xml:space="preserve"> and more than 11 individuals for </w:t>
      </w:r>
      <w:r>
        <w:rPr>
          <w:i/>
        </w:rPr>
        <w:t>M. florea</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proofErr w:type="spellStart"/>
      <w:r>
        <w:rPr>
          <w:i/>
          <w:iCs/>
        </w:rPr>
        <w:t>pegas</w:t>
      </w:r>
      <w:proofErr w:type="spellEnd"/>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xml:space="preserve">. We considered that loci presenting a disequilibrium (p-value &lt; 0.05 after false discovery rate correction) in </w:t>
      </w:r>
      <w:commentRangeStart w:id="6"/>
      <w:r>
        <w:t>more than a third of spatial units were problematic</w:t>
      </w:r>
      <w:commentRangeEnd w:id="6"/>
      <w:r>
        <w:rPr>
          <w:rStyle w:val="CommentReference"/>
        </w:rPr>
        <w:commentReference w:id="6"/>
      </w:r>
      <w:r>
        <w:t xml:space="preserve">. 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(Agapow and Burt, 2001; Kamvar et al., 2014)</w:t>
      </w:r>
      <w:r>
        <w:fldChar w:fldCharType="end"/>
      </w:r>
      <w:r>
        <w:t xml:space="preserve">. We used the </w:t>
      </w:r>
      <w:proofErr w:type="spellStart"/>
      <w:r>
        <w:rPr>
          <w:i/>
          <w:iCs/>
        </w:rPr>
        <w:t>poppr</w:t>
      </w:r>
      <w:proofErr w:type="spellEnd"/>
      <w:r>
        <w:rPr>
          <w:i/>
          <w:iCs/>
        </w:rPr>
        <w:t xml:space="preserve">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proofErr w:type="spellStart"/>
      <w:r w:rsidRPr="008177A0">
        <w:rPr>
          <w:i/>
          <w:iCs/>
        </w:rPr>
        <w:t>PopGenReport</w:t>
      </w:r>
      <w:proofErr w:type="spellEnd"/>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w:t>
      </w:r>
      <w:commentRangeStart w:id="7"/>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7"/>
      <w:r w:rsidR="00C0441D">
        <w:rPr>
          <w:rStyle w:val="CommentReference"/>
        </w:rPr>
        <w:commentReference w:id="7"/>
      </w:r>
      <w:r>
        <w:t xml:space="preserve">, </w:t>
      </w:r>
      <w:commentRangeStart w:id="8"/>
      <w:r>
        <w:t>fixations indices per locus</w:t>
      </w:r>
      <w:commentRangeEnd w:id="8"/>
      <w:r w:rsidR="00C0441D">
        <w:rPr>
          <w:rStyle w:val="CommentReference"/>
        </w:rPr>
        <w:commentReference w:id="8"/>
      </w:r>
      <w:r>
        <w:t xml:space="preserve">, and the </w:t>
      </w:r>
      <w:commentRangeStart w:id="9"/>
      <w:r>
        <w:t xml:space="preserve">pairwise genetic distance between our study areas </w:t>
      </w:r>
      <w:commentRangeEnd w:id="9"/>
      <w:r w:rsidR="00C0441D">
        <w:rPr>
          <w:rStyle w:val="CommentReference"/>
        </w:rPr>
        <w:commentReference w:id="9"/>
      </w:r>
      <w:r>
        <w:t xml:space="preserve">as implemented in the </w:t>
      </w:r>
      <w:proofErr w:type="spellStart"/>
      <w:r>
        <w:rPr>
          <w:i/>
          <w:iCs/>
        </w:rPr>
        <w:t>adegenet</w:t>
      </w:r>
      <w:proofErr w:type="spellEnd"/>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proofErr w:type="gramStart"/>
      <w:r>
        <w:t>|</w:t>
      </w:r>
      <w:r w:rsidR="00537624">
        <w:t xml:space="preserve">  Clustering</w:t>
      </w:r>
      <w:proofErr w:type="gramEnd"/>
    </w:p>
    <w:p w14:paraId="0122B9CF" w14:textId="665A4611"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difﬁcult case of many populations and unbalanced sampling, a rarely used parameter combination of the alternative ancestry prior, an initial ALPHA value much smaller than the default and the uncorrelated allele frequency model is required for Structure to yield accurate inferences. I conclude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FC5BA6">
        <w:rPr>
          <w:rFonts w:cs="Times New Roman"/>
        </w:rPr>
        <w:t>(Wang, 2017)</w:t>
      </w:r>
      <w:r>
        <w:fldChar w:fldCharType="end"/>
      </w:r>
      <w:r>
        <w:t xml:space="preserve">. We conducted ten independent runs with 200 000 Markov Chain Monte Carlo burn-in iterations followed by 1 000 000 iterations for one to six clusters. The estimated posterior probability for the data </w:t>
      </w:r>
      <m:oMath>
        <m:r>
          <w:rPr>
            <w:rFonts w:ascii="Cambria Math" w:hAnsi="Cambria Math"/>
          </w:rPr>
          <m:t>LnP(D|K)</m:t>
        </m:r>
      </m:oMath>
      <w:r>
        <w:rPr>
          <w:rFonts w:eastAsiaTheme="minorEastAsia"/>
        </w:rPr>
        <w:t xml:space="preserve"> for each K </w:t>
      </w:r>
      <w:proofErr w:type="gramStart"/>
      <w:r>
        <w:rPr>
          <w:rFonts w:eastAsiaTheme="minorEastAsia"/>
        </w:rPr>
        <w:t>was assessed</w:t>
      </w:r>
      <w:proofErr w:type="gramEnd"/>
      <w:r>
        <w:rPr>
          <w:rFonts w:eastAsiaTheme="minorEastAsia"/>
        </w:rPr>
        <w:t xml:space="preserve"> to determine the most likely number of plausible clusters. </w:t>
      </w:r>
      <w:r w:rsidRPr="00AF2558">
        <w:t xml:space="preserve">In addition to the Bayesian clustering method in STRUCTURE, we also employed the </w:t>
      </w:r>
      <w:proofErr w:type="gramStart"/>
      <w:r w:rsidRPr="00AF2558">
        <w:t>spatially-explicit</w:t>
      </w:r>
      <w:proofErr w:type="gramEnd"/>
      <w:r w:rsidRPr="00AF2558">
        <w:t xml:space="preserve"> genetic clustering method implemented in BAPS (v.6.0;</w:t>
      </w:r>
      <w:r w:rsidRPr="00AF2558">
        <w:rPr>
          <w:rFonts w:cs="Times New Roman"/>
        </w:rPr>
        <w:t xml:space="preserve"> </w:t>
      </w:r>
      <w:commentRangeStart w:id="10"/>
      <w:proofErr w:type="spellStart"/>
      <w:r w:rsidRPr="00F706A2">
        <w:rPr>
          <w:rFonts w:cs="Times New Roman"/>
        </w:rPr>
        <w:t>Corander</w:t>
      </w:r>
      <w:proofErr w:type="spellEnd"/>
      <w:r w:rsidRPr="00F706A2">
        <w:rPr>
          <w:rFonts w:cs="Times New Roman"/>
        </w:rPr>
        <w:t xml:space="preserve"> et al., </w:t>
      </w:r>
      <w:r w:rsidRPr="00F706A2">
        <w:rPr>
          <w:rFonts w:cs="Times New Roman"/>
        </w:rPr>
        <w:lastRenderedPageBreak/>
        <w:t>2008</w:t>
      </w:r>
      <w:commentRangeEnd w:id="10"/>
      <w:r>
        <w:rPr>
          <w:rStyle w:val="CommentReference"/>
        </w:rPr>
        <w:commentReference w:id="10"/>
      </w:r>
      <w:r w:rsidRPr="00AF2558">
        <w:t xml:space="preserve">). The algorithm considers both the genetic data and the specific geographic coordinates and modally assigns each individual to its putative cluster of origin. The most likely number of </w:t>
      </w:r>
      <w:proofErr w:type="gramStart"/>
      <w:r w:rsidRPr="00AF2558">
        <w:t>clusters</w:t>
      </w:r>
      <w:r>
        <w:t xml:space="preserve"> </w:t>
      </w:r>
      <w:proofErr w:type="gramEnd"/>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3B201F01"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followed the </w:t>
      </w:r>
      <w:commentRangeStart w:id="11"/>
      <w:r w:rsidRPr="007D20D8">
        <w:t>up-to-date recommendations from the development team regarding the appropriate steps to conduct DAPC</w:t>
      </w:r>
      <w:r>
        <w:t xml:space="preserve"> </w:t>
      </w:r>
      <w:commentRangeEnd w:id="11"/>
      <w:r>
        <w:rPr>
          <w:rStyle w:val="CommentReference"/>
        </w:rPr>
        <w:commentReference w:id="11"/>
      </w:r>
      <w:r>
        <w:fldChar w:fldCharType="begin"/>
      </w:r>
      <w:r w:rsidR="00FC5BA6">
        <w:instrText xml:space="preserve"> ADDIN ZOTERO_ITEM CSL_CITATION {"citationID":"tfc3Kcz2","properties":{"formattedCitation":"(Jombart and Collins, 2022)","plainCitation":"(Jombart and Collins, 2022)","noteIndex":0},"citationItems":[{"id":13548,"uris":["http://zotero.org/users/4948104/items/JKCF87YF"],"itemData":{"id":13548,"type":"document","abstract":"This vignette provides a tutorial for applying the Discriminant Analysis of Principal Components (DAPC [1]) using the adegenet package [2] for the R software [3]. This method aims to identify and describe genetic clusters, although it can in fact be applied to any quantitative data. We illustrate how to use find.clusters to identify clusters, and dapc to describe the relationships between these clusters. More advanced topics are then introduced, such as advanced graphics, assessing the stability of DAPC results and using supplementary individuals.","language":"en","source":"Zotero","title":"A tutorial for Discriminant Analysis of Principal Components (DAPC) using adegenet 2.1.6","author":[{"family":"Jombart","given":"Thibaut"},{"family":"Collins","given":"Caitlin"}],"issued":{"date-parts":[["2022"]]}}}],"schema":"https://github.com/citation-style-language/schema/raw/master/csl-citation.json"} </w:instrText>
      </w:r>
      <w:r>
        <w:fldChar w:fldCharType="separate"/>
      </w:r>
      <w:r w:rsidR="00FC5BA6" w:rsidRPr="00FC5BA6">
        <w:rPr>
          <w:rFonts w:cs="Times New Roman"/>
        </w:rPr>
        <w:t>(Jombart and Collins, 2022)</w:t>
      </w:r>
      <w:r>
        <w:fldChar w:fldCharType="end"/>
      </w:r>
      <w:r>
        <w:t xml:space="preserve">. We chose the best number of components to retain for the DAPC based on both cross-validation (1000 iterations) and </w:t>
      </w:r>
      <w:r w:rsidRPr="00512650">
        <w:rPr>
          <w:i/>
          <w:iCs/>
        </w:rPr>
        <w:t>a</w:t>
      </w:r>
      <w:r>
        <w:t xml:space="preserve">-score optimization. </w:t>
      </w:r>
      <w:commentRangeStart w:id="12"/>
      <w:r>
        <w:t>This is a necessary step because the first few components represent most of the genetic variation, we wanted to find a balance to preserve discrimination power while avoiding overfitting</w:t>
      </w:r>
      <w:commentRangeEnd w:id="12"/>
      <w:r>
        <w:rPr>
          <w:rStyle w:val="CommentReference"/>
        </w:rPr>
        <w:commentReference w:id="12"/>
      </w: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p>
    <w:p w14:paraId="7A1F7E43" w14:textId="00197B37" w:rsidR="003C4C9B" w:rsidRDefault="00BA40E3" w:rsidP="008D2535">
      <w:pPr>
        <w:pStyle w:val="Heading2"/>
        <w:numPr>
          <w:ilvl w:val="1"/>
          <w:numId w:val="1"/>
        </w:numPr>
      </w:pPr>
      <w:r>
        <w:t xml:space="preserve"> </w:t>
      </w:r>
      <w:proofErr w:type="gramStart"/>
      <w:r>
        <w:t xml:space="preserve">|  </w:t>
      </w:r>
      <w:r w:rsidR="00FD599D">
        <w:t>I</w:t>
      </w:r>
      <w:r w:rsidR="003C4C9B">
        <w:t>solation</w:t>
      </w:r>
      <w:proofErr w:type="gramEnd"/>
      <w:r w:rsidR="003C4C9B">
        <w:t>-by-distance</w:t>
      </w:r>
    </w:p>
    <w:p w14:paraId="5A18B567" w14:textId="4B55026A"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proofErr w:type="spellStart"/>
      <w:r w:rsidR="003C1EBB">
        <w:rPr>
          <w:i/>
        </w:rPr>
        <w:t>EcoGenetics</w:t>
      </w:r>
      <w:proofErr w:type="spellEnd"/>
      <w:r w:rsidR="003C1EBB">
        <w:rPr>
          <w:i/>
        </w:rPr>
        <w:t xml:space="preserve">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genetic structure is shaped by dispersal we created a Mantel correlogram using Sturge’s rule to define distance classes and used a 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Heading2"/>
        <w:numPr>
          <w:ilvl w:val="1"/>
          <w:numId w:val="1"/>
        </w:numPr>
      </w:pPr>
      <w:r>
        <w:lastRenderedPageBreak/>
        <w:t xml:space="preserve"> </w:t>
      </w:r>
      <w:proofErr w:type="gramStart"/>
      <w:r>
        <w:t>|  Isolation</w:t>
      </w:r>
      <w:proofErr w:type="gramEnd"/>
      <w:r>
        <w:t>-by-environment</w:t>
      </w:r>
    </w:p>
    <w:p w14:paraId="689F9D3C" w14:textId="4CFA636F" w:rsidR="00001874" w:rsidRDefault="00001874" w:rsidP="00001874">
      <w:pPr>
        <w:pStyle w:val="NoSpacing"/>
        <w:spacing w:line="360" w:lineRule="auto"/>
        <w:rPr>
          <w:lang w:val="en-GB"/>
        </w:rPr>
      </w:pP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proofErr w:type="spellStart"/>
      <w:r w:rsidRPr="00DC0F04">
        <w:rPr>
          <w:i/>
          <w:lang w:val="en-GB"/>
        </w:rPr>
        <w:t>gdm</w:t>
      </w:r>
      <w:proofErr w:type="spellEnd"/>
      <w:r>
        <w:rPr>
          <w:lang w:val="en-GB"/>
        </w:rPr>
        <w:t xml:space="preserve"> R package (v. 1.5.0-9.1; </w:t>
      </w:r>
      <w:commentRangeStart w:id="13"/>
      <w:r>
        <w:rPr>
          <w:lang w:val="en-GB"/>
        </w:rPr>
        <w:t>REF</w:t>
      </w:r>
      <w:commentRangeEnd w:id="13"/>
      <w:r w:rsidR="00116356">
        <w:rPr>
          <w:rStyle w:val="CommentReference"/>
        </w:rPr>
        <w:commentReference w:id="13"/>
      </w:r>
      <w:r>
        <w:rPr>
          <w:lang w:val="en-GB"/>
        </w:rPr>
        <w:t>)</w:t>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EU Digital Elevation Model, Copernicus, 25m resolution), i.e. elevation, slope, roughness, and terrain ruggedness index, from climatic data (</w:t>
      </w:r>
      <w:proofErr w:type="spellStart"/>
      <w:r w:rsidRPr="00001874">
        <w:rPr>
          <w:lang w:val="en-GB"/>
        </w:rPr>
        <w:t>WorldClim</w:t>
      </w:r>
      <w:proofErr w:type="spellEnd"/>
      <w:r w:rsidRPr="00001874">
        <w:rPr>
          <w:lang w:val="en-GB"/>
        </w:rPr>
        <w:t xml:space="preserve">,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 </w:t>
      </w:r>
      <w:commentRangeStart w:id="14"/>
      <w:r w:rsidRPr="00001874">
        <w:rPr>
          <w:lang w:val="en-GB"/>
        </w:rPr>
        <w:t>REF</w:t>
      </w:r>
      <w:commentRangeEnd w:id="14"/>
      <w:r w:rsidR="00116356">
        <w:rPr>
          <w:rStyle w:val="CommentReference"/>
        </w:rPr>
        <w:commentReference w:id="14"/>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t xml:space="preserve"> </w:t>
      </w:r>
      <w:proofErr w:type="gramStart"/>
      <w:r>
        <w:t>|  Genetic</w:t>
      </w:r>
      <w:proofErr w:type="gramEnd"/>
      <w:r>
        <w:t xml:space="preserve"> diversity</w:t>
      </w:r>
      <w:r w:rsidR="00EB54B8">
        <w:t xml:space="preserve"> and </w:t>
      </w:r>
      <w:r w:rsidR="00BA40E3">
        <w:t>population genetic structure</w:t>
      </w:r>
    </w:p>
    <w:p w14:paraId="09F9BA16" w14:textId="0323C88B" w:rsidR="00EB54B8" w:rsidRDefault="006E2CF9" w:rsidP="006E2CF9">
      <w:pPr>
        <w:rPr>
          <w:b/>
        </w:rPr>
      </w:pPr>
      <w:r>
        <w:t>A total of</w:t>
      </w:r>
      <w:r w:rsidRPr="006E2CF9">
        <w:t xml:space="preserve"> 831 and 1226 </w:t>
      </w:r>
      <w:r w:rsidRPr="006E2CF9">
        <w:rPr>
          <w:i/>
        </w:rPr>
        <w:t>S. pipiens</w:t>
      </w:r>
      <w:r w:rsidRPr="006E2CF9">
        <w:t xml:space="preserve">, and 559 and 394 </w:t>
      </w:r>
      <w:r w:rsidRPr="006E2CF9">
        <w:rPr>
          <w:i/>
        </w:rPr>
        <w:t>M. florea</w:t>
      </w:r>
      <w:r w:rsidRPr="006E2CF9">
        <w:t xml:space="preserve"> individuals</w:t>
      </w:r>
      <w:r>
        <w:t xml:space="preserve"> </w:t>
      </w:r>
      <w:proofErr w:type="gramStart"/>
      <w:r>
        <w:t>were caught</w:t>
      </w:r>
      <w:proofErr w:type="gramEnd"/>
      <w:r w:rsidRPr="006E2CF9">
        <w:t xml:space="preserve"> in Cologne and the Luxembourg study area, respectively (Fig. 1).</w:t>
      </w:r>
      <w:r w:rsidR="003C0714">
        <w:t xml:space="preserve"> The locus Spp141 </w:t>
      </w:r>
      <w:proofErr w:type="gramStart"/>
      <w:r w:rsidR="003C0714">
        <w:t>was removed</w:t>
      </w:r>
      <w:proofErr w:type="gramEnd"/>
      <w:r w:rsidR="003C0714">
        <w:t xml:space="preserve"> from the </w:t>
      </w:r>
      <w:r w:rsidR="003C0714" w:rsidRPr="003C0714">
        <w:rPr>
          <w:i/>
        </w:rPr>
        <w:t>S. pipiens</w:t>
      </w:r>
      <w:r w:rsidR="003C0714">
        <w:t xml:space="preserve"> dataset due to heterozygote deficiency (possible null alleles) and link</w:t>
      </w:r>
      <w:r w:rsidR="000B0C30">
        <w:t>age disequilibrium. The locus Mfl</w:t>
      </w:r>
      <w:r w:rsidR="003C0714">
        <w:t xml:space="preserve">303 </w:t>
      </w:r>
      <w:proofErr w:type="gramStart"/>
      <w:r w:rsidR="003C0714">
        <w:t>was excluded</w:t>
      </w:r>
      <w:proofErr w:type="gramEnd"/>
      <w:r w:rsidR="003C0714">
        <w:t xml:space="preserve"> from the </w:t>
      </w:r>
      <w:r w:rsidR="003C0714" w:rsidRPr="003C0714">
        <w:rPr>
          <w:i/>
        </w:rPr>
        <w:t>M. florea</w:t>
      </w:r>
      <w:r w:rsidR="003C0714">
        <w:t xml:space="preserve"> dataset</w:t>
      </w:r>
      <w:r w:rsidR="00FF752D">
        <w:t>,</w:t>
      </w:r>
      <w:r w:rsidR="003C0714">
        <w:t xml:space="preserve"> because </w:t>
      </w:r>
      <w:r w:rsidR="003C0714">
        <w:lastRenderedPageBreak/>
        <w:t>of significant deviations from Hardy-Weinberg proportions in numerous tested sample partitions (Suppl. Table 3CD).</w:t>
      </w:r>
      <w:r w:rsidR="00FF752D">
        <w:t xml:space="preserve"> The remaining </w:t>
      </w:r>
      <w:proofErr w:type="spellStart"/>
      <w:r w:rsidR="00FF752D">
        <w:t>multilocus</w:t>
      </w:r>
      <w:proofErr w:type="spellEnd"/>
      <w:r w:rsidR="00FF752D">
        <w:t xml:space="preserve"> genotypes </w:t>
      </w:r>
      <w:proofErr w:type="gramStart"/>
      <w:r w:rsidR="00FF752D">
        <w:t>were characterized</w:t>
      </w:r>
      <w:proofErr w:type="gramEnd"/>
      <w:r w:rsidR="00FF752D">
        <w:t xml:space="preserve"> by 2.24% and 2.93% missing data in </w:t>
      </w:r>
      <w:r w:rsidR="00FF752D" w:rsidRPr="00FF752D">
        <w:rPr>
          <w:i/>
        </w:rPr>
        <w:t>S. pipiens</w:t>
      </w:r>
      <w:r w:rsidR="00FF752D">
        <w:t xml:space="preserve"> and </w:t>
      </w:r>
      <w:r w:rsidR="00FF752D" w:rsidRPr="00FF752D">
        <w:rPr>
          <w:i/>
        </w:rPr>
        <w:t>M. florea</w:t>
      </w:r>
      <w:r w:rsidR="00FF752D">
        <w:t xml:space="preserve">, respectively. </w:t>
      </w:r>
      <w:commentRangeStart w:id="15"/>
      <w:r w:rsidR="00DA6784" w:rsidRPr="00EB54B8">
        <w:t xml:space="preserve">Average expected </w:t>
      </w:r>
      <w:r w:rsidR="006D3B96" w:rsidRPr="00EB54B8">
        <w:t xml:space="preserve">(He </w:t>
      </w:r>
      <w:r w:rsidR="00FF752D">
        <w:rPr>
          <w:rFonts w:cs="Times New Roman"/>
        </w:rPr>
        <w:t>±</w:t>
      </w:r>
      <w:r w:rsidR="006D3B96" w:rsidRPr="00EB54B8">
        <w:t xml:space="preserve"> </w:t>
      </w:r>
      <w:proofErr w:type="spellStart"/>
      <w:proofErr w:type="gramStart"/>
      <w:r w:rsidR="006D3B96" w:rsidRPr="00EB54B8">
        <w:t>sd</w:t>
      </w:r>
      <w:proofErr w:type="spellEnd"/>
      <w:proofErr w:type="gramEnd"/>
      <w:r w:rsidR="006D3B96" w:rsidRPr="00EB54B8">
        <w:t xml:space="preserve">) </w:t>
      </w:r>
      <w:r w:rsidR="00DA6784" w:rsidRPr="00EB54B8">
        <w:t xml:space="preserve">and observed heterozygosity </w:t>
      </w:r>
      <w:r w:rsidR="006D3B96" w:rsidRPr="00EB54B8">
        <w:t xml:space="preserve">(Ho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F76287" w:rsidRPr="00EB54B8">
        <w:rPr>
          <w:i/>
          <w:iCs/>
        </w:rPr>
        <w:t>S. pipiens</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F76287" w:rsidRPr="00EB54B8">
        <w:rPr>
          <w:i/>
          <w:iCs/>
        </w:rPr>
        <w:t>M. florea</w:t>
      </w:r>
      <w:r w:rsidR="00F76287" w:rsidRPr="00EB54B8">
        <w:t>.</w:t>
      </w:r>
      <w:r w:rsidR="00F76287" w:rsidRPr="00EB54B8">
        <w:rPr>
          <w:b/>
        </w:rPr>
        <w:t xml:space="preserve"> </w:t>
      </w:r>
      <w:commentRangeEnd w:id="15"/>
      <w:r w:rsidR="00FF752D">
        <w:rPr>
          <w:rStyle w:val="CommentReference"/>
        </w:rPr>
        <w:commentReference w:id="15"/>
      </w:r>
    </w:p>
    <w:p w14:paraId="67C0C909" w14:textId="77777777" w:rsidR="00BA40E3" w:rsidRDefault="00BA40E3" w:rsidP="00BA40E3">
      <w:r w:rsidRPr="002040A9">
        <w:t>Bayesian ancestry inference</w:t>
      </w:r>
      <w:r>
        <w:t xml:space="preserve"> using STRUCTURE inferred a single partition as most likely clustering solution for both </w:t>
      </w:r>
      <w:r>
        <w:rPr>
          <w:i/>
        </w:rPr>
        <w:t>S. pipiens</w:t>
      </w:r>
      <w:r>
        <w:t xml:space="preserve"> and </w:t>
      </w:r>
      <w:r>
        <w:rPr>
          <w:i/>
        </w:rPr>
        <w:t xml:space="preserve">M. florea </w:t>
      </w:r>
      <w:r>
        <w:t xml:space="preserve">(Fig. 2). </w:t>
      </w:r>
      <w:r w:rsidRPr="00A22CD3">
        <w:t>Similarly, when performing spatial clustering of individuals, BAPS inferred a probability of p(S)</w:t>
      </w:r>
      <w:r>
        <w:t xml:space="preserve"> </w:t>
      </w:r>
      <w:r w:rsidRPr="00A22CD3">
        <w:t>=</w:t>
      </w:r>
      <w:r>
        <w:t xml:space="preserve"> </w:t>
      </w:r>
      <w:proofErr w:type="gramStart"/>
      <w:r w:rsidRPr="00A22CD3">
        <w:t>1</w:t>
      </w:r>
      <w:proofErr w:type="gramEnd"/>
      <w:r w:rsidRPr="00A22CD3">
        <w:t xml:space="preserve"> for the presence of one genetic population</w:t>
      </w:r>
      <w:r>
        <w:t xml:space="preserve"> in both study species</w:t>
      </w:r>
      <w:r w:rsidRPr="00A22CD3">
        <w:t>.</w:t>
      </w:r>
    </w:p>
    <w:p w14:paraId="69ED5C72" w14:textId="77777777" w:rsidR="00BA40E3" w:rsidRDefault="00BA40E3" w:rsidP="00BA40E3">
      <w:r>
        <w:rPr>
          <w:noProof/>
          <w:lang w:val="de-LU" w:eastAsia="de-LU"/>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w:t>
      </w:r>
      <w:proofErr w:type="gramStart"/>
      <w:r>
        <w:t xml:space="preserve">for the data </w:t>
      </w:r>
      <m:oMath>
        <m:r>
          <w:rPr>
            <w:rFonts w:ascii="Cambria Math" w:hAnsi="Cambria Math"/>
          </w:rPr>
          <m:t>LnP(D|K)</m:t>
        </m:r>
      </m:oMath>
      <w:r>
        <w:rPr>
          <w:rFonts w:eastAsiaTheme="minorEastAsia"/>
        </w:rPr>
        <w:t xml:space="preserve"> for each K across ten independent runs for </w:t>
      </w:r>
      <w:r w:rsidRPr="00537624">
        <w:rPr>
          <w:rFonts w:eastAsiaTheme="minorEastAsia"/>
          <w:i/>
        </w:rPr>
        <w:t>Syritta pipiens</w:t>
      </w:r>
      <w:r>
        <w:rPr>
          <w:rFonts w:eastAsiaTheme="minorEastAsia"/>
        </w:rPr>
        <w:t xml:space="preserve"> (A) and </w:t>
      </w:r>
      <w:r w:rsidRPr="00537624">
        <w:rPr>
          <w:rFonts w:eastAsiaTheme="minorEastAsia"/>
          <w:i/>
        </w:rPr>
        <w:t>Myathropa florea</w:t>
      </w:r>
      <w:r>
        <w:rPr>
          <w:rFonts w:eastAsiaTheme="minorEastAsia"/>
        </w:rPr>
        <w:t xml:space="preserve"> (B)</w:t>
      </w:r>
      <w:proofErr w:type="gramEnd"/>
      <w:r>
        <w:rPr>
          <w:rFonts w:eastAsiaTheme="minorEastAsia"/>
        </w:rPr>
        <w:t>.</w:t>
      </w:r>
    </w:p>
    <w:p w14:paraId="0A4D267E" w14:textId="6673E939"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Pr>
          <w:i/>
          <w:iCs/>
        </w:rPr>
        <w:t>S. pipiens</w:t>
      </w:r>
      <w:r>
        <w:t xml:space="preserve"> and </w:t>
      </w:r>
      <w:r>
        <w:rPr>
          <w:i/>
        </w:rPr>
        <w:t>M. florea</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Pr>
          <w:i/>
        </w:rPr>
        <w:t>S. pipiens</w:t>
      </w:r>
      <w:r>
        <w:t xml:space="preserve"> and 55.91% for </w:t>
      </w:r>
      <w:r>
        <w:rPr>
          <w:i/>
        </w:rPr>
        <w:t>M. florea</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lang w:val="de-LU" w:eastAsia="de-LU"/>
        </w:rPr>
        <w:lastRenderedPageBreak/>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lang w:val="de-LU" w:eastAsia="de-LU"/>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4F113E" w:rsidRPr="00F3668F" w:rsidRDefault="004F113E"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4F113E" w:rsidRPr="00F3668F" w:rsidRDefault="004F113E"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4F113E" w:rsidRPr="00F3668F" w:rsidRDefault="004F113E"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4F113E" w:rsidRPr="00F3668F" w:rsidRDefault="004F113E" w:rsidP="00BA40E3">
                      <w:pPr>
                        <w:rPr>
                          <w:sz w:val="20"/>
                        </w:rPr>
                      </w:pPr>
                      <w:r w:rsidRPr="00F3668F">
                        <w:rPr>
                          <w:sz w:val="20"/>
                        </w:rPr>
                        <w:t>Discrimination function</w:t>
                      </w:r>
                    </w:p>
                  </w:txbxContent>
                </v:textbox>
              </v:shape>
            </w:pict>
          </mc:Fallback>
        </mc:AlternateContent>
      </w:r>
    </w:p>
    <w:p w14:paraId="44BE6A51" w14:textId="460C3B58" w:rsidR="00BA40E3" w:rsidRPr="00FF752D" w:rsidRDefault="00BA40E3" w:rsidP="006E2CF9">
      <w:commentRangeStart w:id="16"/>
      <w:r w:rsidRPr="007717BC">
        <w:rPr>
          <w:b/>
          <w:bCs/>
        </w:rPr>
        <w:t>Fig</w:t>
      </w:r>
      <w:r>
        <w:rPr>
          <w:b/>
          <w:bCs/>
        </w:rPr>
        <w:t xml:space="preserve">ure 3. </w:t>
      </w:r>
      <w:r>
        <w:t xml:space="preserve">Discrimination </w:t>
      </w:r>
      <w:commentRangeEnd w:id="16"/>
      <w:r>
        <w:rPr>
          <w:rStyle w:val="CommentReference"/>
        </w:rPr>
        <w:commentReference w:id="16"/>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 xml:space="preserve">Sample sizes ratios </w:t>
      </w:r>
      <w:proofErr w:type="gramStart"/>
      <w:r>
        <w:t>are divided</w:t>
      </w:r>
      <w:proofErr w:type="gramEnd"/>
      <w:r>
        <w:t xml:space="preserve">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r w:rsidRPr="00537624">
        <w:rPr>
          <w:i/>
          <w:iCs/>
        </w:rPr>
        <w:t>S</w:t>
      </w:r>
      <w:r>
        <w:rPr>
          <w:i/>
          <w:iCs/>
        </w:rPr>
        <w:t>yritta</w:t>
      </w:r>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proofErr w:type="gramStart"/>
      <w:r w:rsidR="004B144A">
        <w:t>|</w:t>
      </w:r>
      <w:r w:rsidR="000071E4">
        <w:t xml:space="preserve"> </w:t>
      </w:r>
      <w:r w:rsidR="0075181F">
        <w:t xml:space="preserve"> </w:t>
      </w:r>
      <w:r>
        <w:t>Isolation</w:t>
      </w:r>
      <w:proofErr w:type="gramEnd"/>
      <w:r>
        <w:t>-by-distance</w:t>
      </w:r>
      <w:r w:rsidR="000071E4">
        <w:t xml:space="preserve"> </w:t>
      </w:r>
    </w:p>
    <w:p w14:paraId="7D7372F5" w14:textId="2E7B01B8" w:rsidR="00BA40E3" w:rsidRPr="00BA40E3" w:rsidRDefault="00BA40E3" w:rsidP="00BA40E3">
      <w:r>
        <w:t xml:space="preserve">Regarding </w:t>
      </w:r>
      <w:r>
        <w:rPr>
          <w:i/>
          <w:iCs/>
        </w:rPr>
        <w:t>S</w:t>
      </w:r>
      <w:r w:rsidRPr="00A90F45">
        <w:rPr>
          <w:i/>
          <w:iCs/>
        </w:rPr>
        <w:t>. pipiens</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Pr>
          <w:i/>
          <w:iCs/>
        </w:rPr>
        <w:t>M. florea</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proofErr w:type="gramStart"/>
      <w:r>
        <w:t>|  Isolation</w:t>
      </w:r>
      <w:proofErr w:type="gramEnd"/>
      <w:r>
        <w:t>-by-</w:t>
      </w:r>
      <w:r w:rsidR="00C90829">
        <w:t>e</w:t>
      </w:r>
      <w:r>
        <w:t>nvironment</w:t>
      </w:r>
    </w:p>
    <w:p w14:paraId="5D64EDA5" w14:textId="1CBF2544" w:rsidR="00001874" w:rsidRDefault="00001874" w:rsidP="00001874">
      <w:pPr>
        <w:rPr>
          <w:lang w:val="en-GB"/>
        </w:rPr>
      </w:pPr>
      <w:r>
        <w:rPr>
          <w:lang w:val="en-GB"/>
        </w:rPr>
        <w:t xml:space="preserve">For both </w:t>
      </w:r>
      <w:r w:rsidRPr="00B152AD">
        <w:rPr>
          <w:i/>
          <w:lang w:val="en-GB"/>
        </w:rPr>
        <w:t>M. florea</w:t>
      </w:r>
      <w:r>
        <w:rPr>
          <w:lang w:val="en-GB"/>
        </w:rPr>
        <w:t xml:space="preserve"> and </w:t>
      </w:r>
      <w:r w:rsidRPr="00B152AD">
        <w:rPr>
          <w:i/>
          <w:lang w:val="en-GB"/>
        </w:rPr>
        <w:t>S. pipiens</w:t>
      </w:r>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Heading1"/>
      </w:pPr>
      <w:r>
        <w:lastRenderedPageBreak/>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w:t>
      </w:r>
      <w:proofErr w:type="gramStart"/>
      <w:r>
        <w:t xml:space="preserve">|  </w:t>
      </w:r>
      <w:r w:rsidR="00BD6B63">
        <w:t>High</w:t>
      </w:r>
      <w:proofErr w:type="gramEnd"/>
      <w:r w:rsidR="00BD6B63">
        <w:t xml:space="preserve"> l</w:t>
      </w:r>
      <w:r w:rsidRPr="00920AAC">
        <w:t>arge-scale population connectivity</w:t>
      </w:r>
    </w:p>
    <w:p w14:paraId="58F5F9CC" w14:textId="1351983E" w:rsidR="006832AD" w:rsidRDefault="00970970" w:rsidP="00056907">
      <w:r>
        <w:t xml:space="preserve">The characteristics of </w:t>
      </w:r>
      <w:r w:rsidR="00D669D7">
        <w:t xml:space="preserve">genetic structure measured in this study indicates </w:t>
      </w:r>
      <w:commentRangeStart w:id="17"/>
      <w:r w:rsidR="00D669D7">
        <w:t xml:space="preserve">no strong </w:t>
      </w:r>
      <w:r w:rsidR="00D669D7" w:rsidRPr="00001874">
        <w:rPr>
          <w:highlight w:val="yellow"/>
        </w:rPr>
        <w:t>recent</w:t>
      </w:r>
      <w:r w:rsidR="00D669D7">
        <w:t xml:space="preserve"> effect of the landscape </w:t>
      </w:r>
      <w:r w:rsidR="00042AA8">
        <w:t>on gene flow</w:t>
      </w:r>
      <w:r>
        <w:t xml:space="preserve"> </w:t>
      </w:r>
      <w:commentRangeEnd w:id="17"/>
      <w:r w:rsidR="00C90829">
        <w:rPr>
          <w:rStyle w:val="CommentReference"/>
        </w:rPr>
        <w:commentReference w:id="17"/>
      </w:r>
      <w:r>
        <w:rPr>
          <w:i/>
          <w:iCs/>
        </w:rPr>
        <w:t>S. pipiens</w:t>
      </w:r>
      <w:r>
        <w:t xml:space="preserve"> and </w:t>
      </w:r>
      <w:r>
        <w:rPr>
          <w:i/>
          <w:iCs/>
        </w:rPr>
        <w:t>M.</w:t>
      </w:r>
      <w:r>
        <w:t xml:space="preserve"> </w:t>
      </w:r>
      <w:r w:rsidRPr="00970970">
        <w:rPr>
          <w:i/>
          <w:iCs/>
        </w:rPr>
        <w:t>florea</w:t>
      </w:r>
      <w:r w:rsidR="00DB437A">
        <w:t xml:space="preserve"> (</w:t>
      </w:r>
      <w:r w:rsidR="009F4D9B">
        <w:t xml:space="preserve">Fig.2-3). </w:t>
      </w:r>
    </w:p>
    <w:p w14:paraId="45269FE6" w14:textId="7CBF087D" w:rsidR="003D6EAF" w:rsidRDefault="009965BE" w:rsidP="00056907">
      <w:commentRangeStart w:id="18"/>
      <w:commentRangeStart w:id="19"/>
      <w:r>
        <w:t xml:space="preserve">Superficially, </w:t>
      </w:r>
      <w:r w:rsidR="00747E7F">
        <w:t xml:space="preserve">one might be tempted to conclude towards the higher number of genetic clusters. </w:t>
      </w:r>
      <w:r w:rsidR="00920804">
        <w:t>However, several elements belie this simple conclusion. First</w:t>
      </w:r>
      <w:r>
        <w:t xml:space="preserve">, the structure did not map at all on geographic origins, within or even between study areas </w:t>
      </w:r>
      <w:commentRangeEnd w:id="18"/>
      <w:r w:rsidR="00A77FA7">
        <w:rPr>
          <w:rStyle w:val="CommentReference"/>
        </w:rPr>
        <w:commentReference w:id="18"/>
      </w:r>
      <w:r>
        <w:t xml:space="preserve">(Fig. 2-3). This </w:t>
      </w:r>
      <w:proofErr w:type="gramStart"/>
      <w:r>
        <w:t>can be seen</w:t>
      </w:r>
      <w:proofErr w:type="gramEnd"/>
      <w:r>
        <w:t xml:space="preserve"> in the spatially random and mixed assignments in the STRUCTURE analys</w:t>
      </w:r>
      <w:r w:rsidR="00927A67">
        <w:t>e</w:t>
      </w:r>
      <w:r>
        <w:t>s (Fig. 2)</w:t>
      </w:r>
      <w:r w:rsidR="00927A67">
        <w:t>. Not a single cluster is restricted to a specific study area.</w:t>
      </w:r>
      <w:r>
        <w:t xml:space="preserve"> </w:t>
      </w:r>
      <w:r w:rsidR="00927A67">
        <w:t xml:space="preserve">Similarly, DAPC outcomes show very poor performance for </w:t>
      </w:r>
      <w:r w:rsidR="00927A67">
        <w:rPr>
          <w:i/>
          <w:iCs/>
        </w:rPr>
        <w:t xml:space="preserve">a priori </w:t>
      </w:r>
      <w:r w:rsidR="00927A67">
        <w:t>DAPC (Fig. 3A) where the grouping corresponds to study areas, and again assignments seem to be randomly distributed across study area</w:t>
      </w:r>
      <w:r w:rsidR="00700AB0">
        <w:t xml:space="preserve"> (Fig. 3C)</w:t>
      </w:r>
      <w:r w:rsidR="00927A67">
        <w:t xml:space="preserve">. </w:t>
      </w:r>
      <w:r>
        <w:t>Second, although both approaches partially supported the same number of clusters, the inferred clusters are very different with no apparent concordance between approaches.</w:t>
      </w:r>
      <w:r w:rsidR="00F4178A">
        <w:t xml:space="preserve"> </w:t>
      </w:r>
      <w:r w:rsidR="00F4178A">
        <w:rPr>
          <w:i/>
          <w:iCs/>
        </w:rPr>
        <w:t>De novo</w:t>
      </w:r>
      <w:r w:rsidR="00F4178A">
        <w:t xml:space="preserve"> runs selected a wide range of </w:t>
      </w:r>
      <w:r w:rsidR="00F4178A">
        <w:rPr>
          <w:i/>
          <w:iCs/>
        </w:rPr>
        <w:t>K</w:t>
      </w:r>
      <w:r w:rsidR="00F4178A">
        <w:t xml:space="preserve"> values, especially for </w:t>
      </w:r>
      <w:r w:rsidR="00F4178A">
        <w:rPr>
          <w:i/>
          <w:iCs/>
        </w:rPr>
        <w:t>M. florea</w:t>
      </w:r>
      <w:r w:rsidR="00F4178A">
        <w:t>.</w:t>
      </w:r>
      <w:r w:rsidR="00FA1914" w:rsidRPr="00FA1914">
        <w:t xml:space="preserve"> </w:t>
      </w:r>
      <w:r w:rsidR="00FA1914">
        <w:t>Finally, some performance metrics for the Bayesian analysis did select lower number of clusters (</w:t>
      </w:r>
      <w:r w:rsidR="00FA1914">
        <w:rPr>
          <w:i/>
          <w:iCs/>
        </w:rPr>
        <w:t>K</w:t>
      </w:r>
      <w:r w:rsidR="00FA1914">
        <w:t>=</w:t>
      </w:r>
      <w:proofErr w:type="gramStart"/>
      <w:r w:rsidR="00FA1914">
        <w:t>1</w:t>
      </w:r>
      <w:proofErr w:type="gramEnd"/>
      <w:r w:rsidR="00FA1914">
        <w:t xml:space="preserve"> for </w:t>
      </w:r>
      <w:r w:rsidR="00FA1914">
        <w:rPr>
          <w:i/>
          <w:iCs/>
        </w:rPr>
        <w:t xml:space="preserve">S. </w:t>
      </w:r>
      <w:r w:rsidR="00FA1914" w:rsidRPr="00FA1914">
        <w:t>pipiens</w:t>
      </w:r>
      <w:r w:rsidR="00FA1914">
        <w:t xml:space="preserve"> and </w:t>
      </w:r>
      <w:r w:rsidR="00FA1914">
        <w:rPr>
          <w:i/>
          <w:iCs/>
        </w:rPr>
        <w:t>K</w:t>
      </w:r>
      <w:r w:rsidR="00FA1914">
        <w:t xml:space="preserve">=2 for </w:t>
      </w:r>
      <w:r w:rsidR="00FA1914">
        <w:rPr>
          <w:i/>
          <w:iCs/>
        </w:rPr>
        <w:t>M. florea</w:t>
      </w:r>
      <w:r w:rsidR="00FA1914">
        <w:t>)</w:t>
      </w:r>
      <w:r w:rsidR="002F5CAD">
        <w:t xml:space="preserve"> which further highlights the likely spatial structure of those two species.</w:t>
      </w:r>
      <w:r w:rsidR="006832AD">
        <w:t xml:space="preserve"> </w:t>
      </w:r>
      <w:commentRangeEnd w:id="19"/>
      <w:r w:rsidR="00C90829">
        <w:rPr>
          <w:rStyle w:val="CommentReference"/>
        </w:rPr>
        <w:commentReference w:id="19"/>
      </w:r>
      <w:r w:rsidR="006B1091">
        <w:t xml:space="preserve">IBD analyses </w:t>
      </w:r>
      <w:r w:rsidR="00927A67">
        <w:t xml:space="preserve">support the conclusions drawn from structure analyses. An extremely low IBD </w:t>
      </w:r>
      <w:proofErr w:type="gramStart"/>
      <w:r w:rsidR="00927A67">
        <w:t>is detected</w:t>
      </w:r>
      <w:proofErr w:type="gramEnd"/>
      <w:r w:rsidR="00927A67">
        <w:t xml:space="preserve"> for both species when using both study areas, which denotes 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w:t>
      </w:r>
      <w:r w:rsidR="00927A67">
        <w:lastRenderedPageBreak/>
        <w:t>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20"/>
      <w:r w:rsidR="006832AD">
        <w:t>currently belong to the same genetic population</w:t>
      </w:r>
      <w:commentRangeEnd w:id="20"/>
      <w:r w:rsidR="009E22E3">
        <w:rPr>
          <w:rStyle w:val="CommentReference"/>
        </w:rPr>
        <w:commentReference w:id="20"/>
      </w:r>
      <w:r w:rsidR="006832AD">
        <w:t>.</w:t>
      </w:r>
    </w:p>
    <w:p w14:paraId="014BF1CF" w14:textId="0A091010" w:rsidR="003B2190" w:rsidRPr="00B152AD" w:rsidRDefault="003B2190" w:rsidP="003B2190">
      <w:pPr>
        <w:rPr>
          <w:lang w:val="en-GB"/>
        </w:rPr>
      </w:pPr>
      <w:r>
        <w:rPr>
          <w:lang w:val="en-GB"/>
        </w:rPr>
        <w:t>Previous studies highlighted that isolation by environmental distance can occur in the absence of isolation by geographical distance or by resistance (</w:t>
      </w:r>
      <w:commentRangeStart w:id="21"/>
      <w:proofErr w:type="spellStart"/>
      <w:r>
        <w:rPr>
          <w:lang w:val="en-GB"/>
        </w:rPr>
        <w:t>Glück</w:t>
      </w:r>
      <w:proofErr w:type="spellEnd"/>
      <w:r>
        <w:rPr>
          <w:lang w:val="en-GB"/>
        </w:rPr>
        <w:t xml:space="preserve"> et al. 2005</w:t>
      </w:r>
      <w:commentRangeEnd w:id="21"/>
      <w:r>
        <w:rPr>
          <w:rStyle w:val="CommentReference"/>
        </w:rPr>
        <w:commentReference w:id="21"/>
      </w:r>
      <w:r>
        <w:rPr>
          <w:lang w:val="en-GB"/>
        </w:rPr>
        <w:t xml:space="preserve">). </w:t>
      </w:r>
      <w:proofErr w:type="spellStart"/>
      <w:r>
        <w:rPr>
          <w:lang w:val="en-GB"/>
        </w:rPr>
        <w:t>Glück</w:t>
      </w:r>
      <w:proofErr w:type="spellEnd"/>
      <w:r>
        <w:rPr>
          <w:lang w:val="en-GB"/>
        </w:rPr>
        <w:t xml:space="preserve"> et al</w:t>
      </w:r>
      <w:r w:rsidR="009E22E3">
        <w:rPr>
          <w:lang w:val="en-GB"/>
        </w:rPr>
        <w:t>.</w:t>
      </w:r>
      <w:r>
        <w:rPr>
          <w:lang w:val="en-GB"/>
        </w:rPr>
        <w:t xml:space="preserve"> 2022 found that environmental differences accounted for over 30% of the genetic divergence ob</w:t>
      </w:r>
      <w:r w:rsidR="009E22E3">
        <w:rPr>
          <w:lang w:val="en-GB"/>
        </w:rPr>
        <w:t>served among buff-tailed bumble</w:t>
      </w:r>
      <w:r>
        <w:rPr>
          <w:lang w:val="en-GB"/>
        </w:rPr>
        <w:t>bee (</w:t>
      </w:r>
      <w:proofErr w:type="spellStart"/>
      <w:r w:rsidRPr="007E3A18">
        <w:rPr>
          <w:i/>
          <w:lang w:val="en-GB"/>
        </w:rPr>
        <w:t>Bombus</w:t>
      </w:r>
      <w:proofErr w:type="spellEnd"/>
      <w:r w:rsidRPr="007E3A18">
        <w:rPr>
          <w:i/>
          <w:lang w:val="en-GB"/>
        </w:rPr>
        <w:t xml:space="preserve"> </w:t>
      </w:r>
      <w:proofErr w:type="spellStart"/>
      <w:r w:rsidRPr="007E3A18">
        <w:rPr>
          <w:i/>
          <w:lang w:val="en-GB"/>
        </w:rPr>
        <w:t>terrestris</w:t>
      </w:r>
      <w:proofErr w:type="spellEnd"/>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neutral markers can arise through genetic drift. Here, we found no evidence for isolation by geographic or environmental distance, suggesting that environmental heterogeneity, e.g. urban versus rural habitat, is not exerting strong selective pressures on the investigated spatial and temporal scale in these two hoverfly species in Luxembourg.    </w:t>
      </w:r>
    </w:p>
    <w:p w14:paraId="246BC406" w14:textId="0457CBA9"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FC5BA6">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FC5BA6" w:rsidRPr="00FC5BA6">
        <w:rPr>
          <w:rFonts w:cs="Times New Roman"/>
          <w:szCs w:val="24"/>
        </w:rPr>
        <w:t>(Lövei et al., 1998; Wratten et al., 2003)</w:t>
      </w:r>
      <w:r w:rsidR="00345EE0">
        <w:fldChar w:fldCharType="end"/>
      </w:r>
      <w:r w:rsidR="00345EE0">
        <w:t>. Similarly, studies investigating hoverfly richness in relation to habitat patch isolation suggest</w:t>
      </w:r>
      <w:r w:rsidR="009E22E3">
        <w:t>ed</w:t>
      </w:r>
      <w:r w:rsidR="00345EE0">
        <w:t xml:space="preserve"> that hoverflies are significantly impacted by habitat fragmentation </w:t>
      </w:r>
      <w:r w:rsidR="00345EE0">
        <w:fldChar w:fldCharType="begin"/>
      </w:r>
      <w:r w:rsidR="00FC5BA6">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FC5BA6" w:rsidRPr="00FC5BA6">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FC5BA6">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FC5BA6" w:rsidRPr="00FC5BA6">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FC5BA6">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FC5BA6" w:rsidRPr="00FC5BA6">
        <w:rPr>
          <w:rFonts w:cs="Times New Roman"/>
        </w:rPr>
        <w:t>(Jia et al., 2022; Ouin et al., 2011)</w:t>
      </w:r>
      <w:r w:rsidR="00345EE0">
        <w:fldChar w:fldCharType="end"/>
      </w:r>
      <w:r w:rsidR="00345EE0">
        <w:t xml:space="preserve">, especially when aided by wind </w:t>
      </w:r>
      <w:r w:rsidR="00345EE0">
        <w:fldChar w:fldCharType="begin"/>
      </w:r>
      <w:r w:rsidR="00FC5BA6">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FC5BA6" w:rsidRPr="00FC5BA6">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r w:rsidR="007E2E5D">
        <w:t>(wrongly) predict</w:t>
      </w:r>
      <w:r w:rsidR="009E22E3">
        <w:t xml:space="preserve">ed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FC5BA6">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FC5BA6" w:rsidRPr="00FC5BA6">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7E2E5D">
        <w:rPr>
          <w:i/>
          <w:iCs/>
        </w:rPr>
        <w:t>S. pipiens</w:t>
      </w:r>
      <w:r w:rsidR="007E2E5D">
        <w:t xml:space="preserve"> and </w:t>
      </w:r>
      <w:r w:rsidR="007E2E5D">
        <w:rPr>
          <w:i/>
          <w:iCs/>
        </w:rPr>
        <w:t xml:space="preserve">M. </w:t>
      </w:r>
      <w:r w:rsidR="007E2E5D">
        <w:rPr>
          <w:i/>
          <w:iCs/>
        </w:rPr>
        <w:lastRenderedPageBreak/>
        <w:t>florea</w:t>
      </w:r>
      <w:r w:rsidR="00345EE0">
        <w:t xml:space="preserve">. Indeed, even rare non-migratory species may fly several kilometers away from their emergence sites </w:t>
      </w:r>
      <w:r w:rsidR="00345EE0">
        <w:fldChar w:fldCharType="begin"/>
      </w:r>
      <w:r w:rsidR="00FC5BA6">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FC5BA6" w:rsidRPr="00FC5BA6">
        <w:rPr>
          <w:rFonts w:cs="Times New Roman"/>
        </w:rPr>
        <w:t>(Rotheray et al., 2014)</w:t>
      </w:r>
      <w:r w:rsidR="00345EE0">
        <w:fldChar w:fldCharType="end"/>
      </w:r>
      <w:r w:rsidR="00345EE0">
        <w:t>.</w:t>
      </w:r>
      <w:r w:rsidR="00302283">
        <w:t xml:space="preserve"> </w:t>
      </w:r>
    </w:p>
    <w:p w14:paraId="3EC545E8" w14:textId="59ED1DE5" w:rsidR="00970970" w:rsidRDefault="00BA40E3" w:rsidP="00970970">
      <w:pPr>
        <w:pStyle w:val="Heading2"/>
        <w:numPr>
          <w:ilvl w:val="1"/>
          <w:numId w:val="1"/>
        </w:numPr>
      </w:pPr>
      <w:r>
        <w:t xml:space="preserve"> </w:t>
      </w:r>
      <w:proofErr w:type="gramStart"/>
      <w:r w:rsidR="00970970">
        <w:t xml:space="preserve">|  </w:t>
      </w:r>
      <w:r w:rsidR="00970970" w:rsidRPr="00D02D82">
        <w:t>Methodological</w:t>
      </w:r>
      <w:proofErr w:type="gramEnd"/>
      <w:r w:rsidR="00970970" w:rsidRPr="00D02D82">
        <w:t xml:space="preserve"> </w:t>
      </w:r>
      <w:r w:rsidR="00970970">
        <w:t>limits</w:t>
      </w:r>
      <w:r w:rsidR="00970970" w:rsidRPr="00D02D82">
        <w:t xml:space="preserve"> and future directions</w:t>
      </w:r>
    </w:p>
    <w:p w14:paraId="6C7FD345" w14:textId="78907CED" w:rsidR="00F4178A" w:rsidRDefault="00DB1C7F" w:rsidP="00970970">
      <w:pPr>
        <w:rPr>
          <w:iCs/>
        </w:rPr>
      </w:pPr>
      <w:commentRangeStart w:id="22"/>
      <w:r>
        <w:t xml:space="preserve">Detecting genetic structure is rarely a straightforward endeavor and there a known limits to certain approaches. </w:t>
      </w:r>
      <w:r w:rsidR="00970970">
        <w:t xml:space="preserve">Although STRUCTURE may perform better than DAPC in some scenarios because DAPC may be sensitive to IBD, DAPC performs well for scenarios with low IBD </w:t>
      </w:r>
      <w:r w:rsidR="00970970">
        <w:fldChar w:fldCharType="begin"/>
      </w:r>
      <w:r w:rsidR="00FC5BA6">
        <w:instrText xml:space="preserve"> ADDIN ZOTERO_ITEM CSL_CITATION {"citationID":"UoXyTRPZ","properties":{"formattedCitation":"(Blair et al., 2012)","plainCitation":"(Blair et al., 2012)","noteIndex":0},"citationItems":[{"id":13545,"uris":["http://zotero.org/users/4948104/items/IHQEHYMI"],"itemData":{"id":13545,"type":"article-journal","abstract":"Different analytical techniques used on the same data set may lead to different conclusions about the existence and strength of genetic structure. Therefore, reliable interpretation of the results from different methods depends on the efficacy and reliability of different statistical methods. In this paper, we evaluated the performance of multiple analytical methods to detect the presence of a linear barrier dividing populations. We were specifically interested in determining if simulation conditions, such as dispersal ability and genetic equilibrium, affect the power of different analytical methods for detecting barriers. We evaluated two boundary detection methods (Monmonier’s algorithm and WOMBLING), two spatial Bayesian clustering methods (TESS and GENELAND), an aspatial clustering approach (STRUCTURE), and two recently developed, non-Bayesian clustering methods [PSMIX and discriminant analysis of principal components (DAPC)]. We found that clustering methods had higher success rates than boundary detection methods and also detected the barrier more quickly. All methods detected the barrier more quickly when dispersal was long distance in comparison to short-distance dispersal scenarios. Bayesian clustering methods performed best overall, both in terms of highest success rates and lowest time to barrier detection, with GENELAND showing the highest power. None of the methods suggested a continuous linear barrier when the data were generated under an isolation-by-distance (IBD) model. However, the clustering methods had higher potential for leading to incorrect barrier inferences under IBD unless strict criteria for successful barrier detection were implemented. Based on our findings and those of previous simulation studies, we discuss the utility of different methods for detecting linear barriers to gene flow.","container-title":"Molecular Ecology Resources","DOI":"10.1111/j.1755-0998.2012.03151.x","ISSN":"1755-0998","issue":"5","language":"en","note":"_eprint: https://onlinelibrary.wiley.com/doi/pdf/10.1111/j.1755-0998.2012.03151.x","page":"822-833","source":"Wiley Online Library","title":"A simulation-based evaluation of methods for inferring linear barriers to gene flow","volume":"12","author":[{"family":"Blair","given":"Christopher"},{"family":"Weigel","given":"Dana E."},{"family":"Balazik","given":"Matthew"},{"family":"Keeley","given":"Annika T. H."},{"family":"Walker","given":"Faith M."},{"family":"Landguth","given":"Erin"},{"family":"Cushman","given":"Sam"},{"family":"Murphy","given":"Melanie"},{"family":"Waits","given":"Lisette"},{"family":"Balkenhol","given":"Niko"}],"issued":{"date-parts":[["2012"]]}}}],"schema":"https://github.com/citation-style-language/schema/raw/master/csl-citation.json"} </w:instrText>
      </w:r>
      <w:r w:rsidR="00970970">
        <w:fldChar w:fldCharType="separate"/>
      </w:r>
      <w:r w:rsidR="00FC5BA6" w:rsidRPr="00FC5BA6">
        <w:rPr>
          <w:rFonts w:cs="Times New Roman"/>
        </w:rPr>
        <w:t>(Blair et al., 2012)</w:t>
      </w:r>
      <w:r w:rsidR="00970970">
        <w:fldChar w:fldCharType="end"/>
      </w:r>
      <w:r w:rsidR="00970970">
        <w:t xml:space="preserve"> which was the case in our study.</w:t>
      </w:r>
      <w:r w:rsidR="002F5CAD">
        <w:t xml:space="preserve"> There are known biases towards selecting </w:t>
      </w:r>
      <w:r w:rsidR="002F5CAD">
        <w:rPr>
          <w:i/>
          <w:iCs/>
        </w:rPr>
        <w:t>K</w:t>
      </w:r>
      <w:r w:rsidR="002F5CAD">
        <w:t xml:space="preserve">=2 when using STRUCTURE </w:t>
      </w:r>
      <w:r w:rsidR="002F5CAD">
        <w:fldChar w:fldCharType="begin"/>
      </w:r>
      <w:r w:rsidR="00FC5BA6">
        <w:instrText xml:space="preserve"> ADDIN ZOTERO_ITEM CSL_CITATION {"citationID":"kMlGhuZd","properties":{"formattedCitation":"(Janes et al., 2017)","plainCitation":"(Janes et al., 2017)","noteIndex":0},"citationItems":[{"id":13662,"uris":["http://zotero.org/users/4948104/items/8LQCIPY4"],"itemData":{"id":13662,"type":"article-journal","abstract":"Assessments of population genetic structure have become an increasing focus as they can provide valuable insight into patterns of migration and gene flow. structure, the most highly cited of several clustering-based methods, was developed to provide robust estimates without the need for populations to be determined a priori. structure introduces the problem of selecting the optimal number of clusters, and as a result, the ΔK method was proposed to assist in the identification of the “true” number of clusters. In our review of 1,264 studies using structure to explore population subdivision, studies that used ΔK were more likely to identify K = 2 (54%, 443/822) than studies that did not use ΔK (21%, 82/386). A troubling finding was that very few studies performed the hierarchical analysis recommended by the authors of both ΔK and structure to fully explore population subdivision. Furthermore, extensions of earlier simulations indicate that, with a representative number of markers, ΔK frequently identifies K = 2 as the top level of hierarchical structure, even when more subpopulations are present. This review suggests that many studies may have been over- or underestimating population genetic structure; both scenarios have serious consequences, particularly with respect to conservation and management. We recommend publication standards for population structure results so that readers can assess the implications of the results given their own understanding of the species biology.","container-title":"Molecular Ecology","DOI":"10.1111/mec.14187","ISSN":"1365-294X","issue":"14","language":"en","note":"_eprint: https://onlinelibrary.wiley.com/doi/pdf/10.1111/mec.14187","page":"3594-3602","source":"Wiley Online Library","title":"The K = 2 conundrum","volume":"26","author":[{"family":"Janes","given":"Jasmine K."},{"family":"Miller","given":"Joshua M."},{"family":"Dupuis","given":"Julian R."},{"family":"Malenfant","given":"René M."},{"family":"Gorrell","given":"Jamieson C."},{"family":"Cullingham","given":"Catherine I."},{"family":"Andrew","given":"Rose L."}],"issued":{"date-parts":[["2017"]]}}}],"schema":"https://github.com/citation-style-language/schema/raw/master/csl-citation.json"} </w:instrText>
      </w:r>
      <w:r w:rsidR="002F5CAD">
        <w:fldChar w:fldCharType="separate"/>
      </w:r>
      <w:r w:rsidR="00FC5BA6" w:rsidRPr="00FC5BA6">
        <w:rPr>
          <w:rFonts w:cs="Times New Roman"/>
        </w:rPr>
        <w:t>(Janes et al., 2017)</w:t>
      </w:r>
      <w:r w:rsidR="002F5CAD">
        <w:fldChar w:fldCharType="end"/>
      </w:r>
      <w:r w:rsidR="002F5CAD">
        <w:t>, but we are confident that we lowered this bias by using more flexible parameters in our runs and by comparing outcomes with DAPC.</w:t>
      </w:r>
      <w:r>
        <w:t xml:space="preserve"> </w:t>
      </w:r>
      <w:r w:rsidR="00FA1914">
        <w:t>The somewhat intriguing pattern displayed in the</w:t>
      </w:r>
      <w:r>
        <w:t xml:space="preserve"> DAPC</w:t>
      </w:r>
      <w:r w:rsidR="00FA1914">
        <w:t xml:space="preserve"> scatterplot for </w:t>
      </w:r>
      <w:r w:rsidR="00FA1914">
        <w:rPr>
          <w:i/>
          <w:iCs/>
        </w:rPr>
        <w:t>S. pipiens</w:t>
      </w:r>
      <w:r w:rsidR="00FA1914">
        <w:t xml:space="preserve"> disappeared when dropping other alleles. Because the structure is so low, only a few alleles may be driving the visual grouping of some observations on the first two axes. The general conclusions about clustering </w:t>
      </w:r>
      <w:proofErr w:type="gramStart"/>
      <w:r w:rsidR="00FA1914">
        <w:t>were maintained</w:t>
      </w:r>
      <w:proofErr w:type="gramEnd"/>
      <w:r w:rsidR="00FA1914">
        <w:t xml:space="preserve"> after removing several loci to disrupt this pattern. Therefore, we kept all loci except the one mentioned in the methods.</w:t>
      </w:r>
      <w:r>
        <w:t xml:space="preserve"> Given the large number of </w:t>
      </w:r>
      <w:r>
        <w:rPr>
          <w:i/>
          <w:iCs/>
        </w:rPr>
        <w:t xml:space="preserve">de novo </w:t>
      </w:r>
      <w:r>
        <w:t>DAPC runs we conducted, we had to choose the best number of genetic clusters programmatically,</w:t>
      </w:r>
      <w:r>
        <w:rPr>
          <w:iCs/>
        </w:rPr>
        <w:t xml:space="preserve"> based on a fixed criterion rather than using the visual “elbow in the curve” or the minimum methods. However, it is important to note that in most runs, using the visual heuristic (or minimum approach) led to much higher numbers of clusters, notably for </w:t>
      </w:r>
      <w:r>
        <w:rPr>
          <w:i/>
        </w:rPr>
        <w:t>S. pipiens</w:t>
      </w:r>
      <w:r>
        <w:rPr>
          <w:iCs/>
        </w:rPr>
        <w:t xml:space="preserve"> (Sup. Fig. 1). Such a situation where STRUCTURE selects fewer clusters than DAPC has been described for other pollinators </w:t>
      </w:r>
      <w:r>
        <w:rPr>
          <w:iCs/>
        </w:rPr>
        <w:fldChar w:fldCharType="begin"/>
      </w:r>
      <w:r w:rsidR="00FC5BA6">
        <w:rPr>
          <w:iCs/>
        </w:rPr>
        <w:instrText xml:space="preserve"> ADDIN ZOTERO_ITEM CSL_CITATION {"citationID":"Edqlcyn2","properties":{"formattedCitation":"(Frantine-Silva et al., 2021; Gl\\uc0\\u252{}ck et al., 2022)","plainCitation":"(Frantine-Silva et al., 2021; Glück et al., 2022)","noteIndex":0},"citationItems":[{"id":13661,"uris":["http://zotero.org/users/4948104/items/99FAYUIB"],"itemData":{"id":13661,"type":"article-journal","abstract":"Based on microsatellite markers and non-lethal sampling of orchid bee males, we assessed the genetic diversity and population structure of three species, Euglossa pleosticta, Euglossa imperialis, and Eulaema nigrita, collected from forest remnants in the Brazilian savanna biome. Among these species, El. nigrita has being acknowledged as more tolerant to savanic areas, since it is more frequently found in these habitats than the other two species. Thus, we hypothesized that species more associated with forest areas would show lower levels of genetic diversity and higher levels of population structure, since open areas could represent a barrier to the movement of these species. We observed lower levels of genetic diversity (HE) in the species highly associated with forest areas (Eg. pleosticta, HE = 0.66; Eg. imperialis, HE = 0.44) compared to El. nigrita (HE = 0.81). Concerning the genetic structure, it was only remarkable among samples of Eg. pleosticta, a species strongly associated with the forest remnants. Despite the documented dispersal capacity of euglossine bees, maintenance of the connections among forest areas in this biome seems to be critical for their conservation in the Brazilian savanna.","container-title":"Journal of Apicultural Research","DOI":"10.1080/00218839.2021.1898788","ISSN":"0021-8839","issue":"3","note":"publisher: Taylor &amp; Francis\n_eprint: https://doi.org/10.1080/00218839.2021.1898788","page":"385-395","source":"Taylor and Francis+NEJM","title":"Genetic diversity and population structure of orchid bees from the Brazilian savanna","volume":"60","author":[{"family":"Frantine-Silva","given":"Wilson"},{"family":"Augusto","given":"Solange Cristina"},{"family":"Tosta","given":"Thiago Henrique Azevedo"},{"family":"Pacheco","given":"Andressa Simas"},{"family":"Kotelok-Diniz","given":"Thais"},{"family":"Apolinário da Silva","given":"Caroline"},{"family":"Sofia","given":"Silvia Helena"}],"issued":{"date-parts":[["2021",5,27]]}}},{"id":13270,"uris":["http://zotero.org/users/4948104/items/J354TIHC"],"itemData":{"id":13270,"type":"article-journal","abstract":"Background: 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Pr>
          <w:iCs/>
        </w:rPr>
        <w:fldChar w:fldCharType="separate"/>
      </w:r>
      <w:r w:rsidR="00FC5BA6" w:rsidRPr="00FC5BA6">
        <w:rPr>
          <w:rFonts w:cs="Times New Roman"/>
          <w:szCs w:val="24"/>
        </w:rPr>
        <w:t>(Frantine-Silva et al., 2021; Glück et al., 2022)</w:t>
      </w:r>
      <w:r>
        <w:rPr>
          <w:iCs/>
        </w:rPr>
        <w:fldChar w:fldCharType="end"/>
      </w:r>
      <w:r>
        <w:rPr>
          <w:iCs/>
        </w:rPr>
        <w:t>.</w:t>
      </w:r>
      <w:commentRangeEnd w:id="22"/>
      <w:r w:rsidR="002D6F2D">
        <w:rPr>
          <w:rStyle w:val="CommentReference"/>
        </w:rPr>
        <w:commentReference w:id="22"/>
      </w:r>
    </w:p>
    <w:p w14:paraId="27CFA492" w14:textId="09C96B05" w:rsidR="006C2DDA" w:rsidRPr="006C2DDA" w:rsidRDefault="00EB4792" w:rsidP="00970970">
      <w:pPr>
        <w:rPr>
          <w:iCs/>
          <w:color w:val="FF0000"/>
        </w:rPr>
      </w:pPr>
      <w:r w:rsidRPr="00722F11">
        <w:rPr>
          <w:iCs/>
        </w:rPr>
        <w:t xml:space="preserve">Another potential </w:t>
      </w:r>
      <w:r w:rsidR="00722F11" w:rsidRPr="00722F11">
        <w:rPr>
          <w:iCs/>
        </w:rPr>
        <w:t>methodological limit</w:t>
      </w:r>
      <w:r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FC5BA6">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FC5BA6" w:rsidRPr="00FC5BA6">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isolation </w:t>
      </w:r>
      <w:r w:rsidR="00041655">
        <w:rPr>
          <w:iCs/>
        </w:rPr>
        <w:fldChar w:fldCharType="begin"/>
      </w:r>
      <w:r w:rsidR="00FC5BA6">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FC5BA6" w:rsidRPr="00FC5BA6">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r w:rsidR="00875563">
        <w:rPr>
          <w:iCs/>
        </w:rPr>
        <w:t>very large</w:t>
      </w:r>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w:t>
      </w:r>
      <w:r w:rsidR="00E80787" w:rsidRPr="00E80787">
        <w:rPr>
          <w:iCs/>
        </w:rPr>
        <w:lastRenderedPageBreak/>
        <w:t xml:space="preserve">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r w:rsidR="00875563">
        <w:rPr>
          <w:iCs/>
        </w:rPr>
        <w:t xml:space="preserve">scales </w:t>
      </w:r>
      <w:r w:rsidR="001F0A0B">
        <w:rPr>
          <w:iCs/>
        </w:rPr>
        <w:t xml:space="preserve">relevant for the disturbance </w:t>
      </w:r>
      <w:r w:rsidR="001F0A0B">
        <w:rPr>
          <w:iCs/>
        </w:rPr>
        <w:fldChar w:fldCharType="begin"/>
      </w:r>
      <w:r w:rsidR="00FC5BA6">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FC5BA6" w:rsidRPr="00FC5BA6">
        <w:rPr>
          <w:rFonts w:cs="Times New Roman"/>
        </w:rPr>
        <w:t>(Landguth et al., 2012)</w:t>
      </w:r>
      <w:r w:rsidR="001F0A0B">
        <w:rPr>
          <w:iCs/>
        </w:rPr>
        <w:fldChar w:fldCharType="end"/>
      </w:r>
      <w:r w:rsidR="006C2DDA" w:rsidRPr="00E80787">
        <w:rPr>
          <w:iCs/>
        </w:rPr>
        <w:t>.</w:t>
      </w:r>
      <w:r w:rsidR="001F0A0B">
        <w:rPr>
          <w:iCs/>
        </w:rPr>
        <w:t xml:space="preserve"> </w:t>
      </w:r>
    </w:p>
    <w:p w14:paraId="165C2867" w14:textId="193EA09C" w:rsidR="000C4754" w:rsidRDefault="00BA40E3" w:rsidP="00DE7D58">
      <w:pPr>
        <w:pStyle w:val="Heading2"/>
        <w:numPr>
          <w:ilvl w:val="1"/>
          <w:numId w:val="1"/>
        </w:numPr>
      </w:pPr>
      <w:r>
        <w:t xml:space="preserve"> </w:t>
      </w:r>
      <w:proofErr w:type="gramStart"/>
      <w:r w:rsidR="00DE7D58">
        <w:t>|  Implications</w:t>
      </w:r>
      <w:proofErr w:type="gramEnd"/>
      <w:r w:rsidR="00DE7D58">
        <w:t xml:space="preserve"> for hoverfly biodiversity and pollination services</w:t>
      </w:r>
    </w:p>
    <w:p w14:paraId="6A10F1CF" w14:textId="52297D68"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00FC5BA6" w:rsidRPr="00FC5BA6">
        <w:rPr>
          <w:rFonts w:cs="Times New Roman"/>
        </w:rPr>
        <w:t>(Bonte et al., 2012)</w:t>
      </w:r>
      <w:r>
        <w:fldChar w:fldCharType="end"/>
      </w:r>
      <w:r>
        <w:t xml:space="preserve">. For example, there could be high mortality rates in some urban or peri-urban agricultural </w:t>
      </w:r>
      <w:r w:rsidR="00EE29EB">
        <w:t xml:space="preserve">habitats, which </w:t>
      </w:r>
      <w:r>
        <w:t xml:space="preserve">would likely lower population density and </w:t>
      </w:r>
      <w:commentRangeStart w:id="23"/>
      <w:r>
        <w:t>genetic diversity</w:t>
      </w:r>
      <w:r w:rsidR="00EE29EB">
        <w:t xml:space="preserve"> </w:t>
      </w:r>
      <w:commentRangeEnd w:id="23"/>
      <w:r w:rsidR="00875563">
        <w:rPr>
          <w:rStyle w:val="CommentReference"/>
        </w:rPr>
        <w:commentReference w:id="23"/>
      </w:r>
      <w:r w:rsidR="00EE29EB">
        <w:t>although a large number of local dispersers could offset their genetic signal.</w:t>
      </w:r>
      <w:r>
        <w:t xml:space="preserve"> Finally, a</w:t>
      </w:r>
      <w:r w:rsidR="00682835">
        <w:t xml:space="preserve">lthough we did not </w:t>
      </w:r>
      <w:commentRangeStart w:id="24"/>
      <w:r w:rsidR="00682835">
        <w:t>find</w:t>
      </w:r>
      <w:r>
        <w:t xml:space="preserve"> c</w:t>
      </w:r>
      <w:r w:rsidR="00682835">
        <w:t xml:space="preserve">onstraints on gene flow </w:t>
      </w:r>
      <w:commentRangeEnd w:id="24"/>
      <w:r w:rsidR="00692790">
        <w:rPr>
          <w:rStyle w:val="CommentReference"/>
        </w:rPr>
        <w:commentReference w:id="24"/>
      </w:r>
      <w:r w:rsidR="00682835">
        <w:t>within urbanized landscapes</w:t>
      </w:r>
      <w:r>
        <w:t xml:space="preserve"> for those two species</w:t>
      </w:r>
      <w:r w:rsidR="00682835">
        <w:t>, they are likely to exist in other systems</w:t>
      </w:r>
      <w:r>
        <w:t>, including for hoverflies.</w:t>
      </w:r>
    </w:p>
    <w:p w14:paraId="140FA55E" w14:textId="3D5F6B74"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xml:space="preserve">. </w:t>
      </w:r>
      <w:commentRangeStart w:id="25"/>
      <w:r w:rsidR="0020424C">
        <w:t xml:space="preserve">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25"/>
      <w:r w:rsidR="00692790">
        <w:rPr>
          <w:rStyle w:val="CommentReference"/>
        </w:rPr>
        <w:commentReference w:id="25"/>
      </w:r>
      <w:r w:rsidR="0020424C">
        <w:t xml:space="preserve">. The </w:t>
      </w:r>
      <w:commentRangeStart w:id="26"/>
      <w:r w:rsidR="0020424C">
        <w:t xml:space="preserve">hoverfly populations we studied could be at risk </w:t>
      </w:r>
      <w:commentRangeEnd w:id="26"/>
      <w:r w:rsidR="00875563">
        <w:rPr>
          <w:rStyle w:val="CommentReference"/>
        </w:rPr>
        <w:commentReference w:id="26"/>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0C02A89C" w:rsidR="00232AC8" w:rsidRPr="00682835" w:rsidRDefault="00232AC8" w:rsidP="00682835">
      <w:commentRangeStart w:id="27"/>
      <w:r>
        <w:lastRenderedPageBreak/>
        <w:t>Some introduced hoverflies</w:t>
      </w:r>
      <w:r w:rsidRPr="006577A9">
        <w:t xml:space="preserve"> c</w:t>
      </w:r>
      <w:r>
        <w:t>an</w:t>
      </w:r>
      <w:r w:rsidRPr="006577A9">
        <w:t xml:space="preserve"> potentially outcompete native species due to their high </w:t>
      </w:r>
      <w:proofErr w:type="spellStart"/>
      <w:r w:rsidRPr="006577A9">
        <w:t>polyphagy</w:t>
      </w:r>
      <w:proofErr w:type="spellEnd"/>
      <w:r>
        <w:t xml:space="preserve"> and dispersal abilities</w:t>
      </w:r>
      <w:r w:rsidR="00DB58C8">
        <w:t xml:space="preserve"> and </w:t>
      </w:r>
      <w:commentRangeEnd w:id="27"/>
      <w:r w:rsidR="00692790">
        <w:rPr>
          <w:rStyle w:val="CommentReference"/>
        </w:rPr>
        <w:commentReference w:id="27"/>
      </w:r>
      <w:r w:rsidR="00DB58C8">
        <w:t>understanding connectivity is key to understand, prevent, and mitigate their negative impacts</w:t>
      </w:r>
      <w:r>
        <w:t xml:space="preserve">. The high effective dispersal ability of </w:t>
      </w:r>
      <w:r>
        <w:rPr>
          <w:i/>
        </w:rPr>
        <w:t>M. florea</w:t>
      </w:r>
      <w:r>
        <w:t xml:space="preserve"> </w:t>
      </w:r>
      <w:r w:rsidRPr="00BF53CF">
        <w:t>suggested</w:t>
      </w:r>
      <w:r>
        <w:t xml:space="preserve"> in our study suggests that this</w:t>
      </w:r>
      <w:r w:rsidR="006B529E">
        <w:t xml:space="preserve"> </w:t>
      </w:r>
      <w:r w:rsidR="006B529E">
        <w:rPr>
          <w:vanish/>
        </w:rPr>
        <w:t xml:space="preserve">species could become established quickly once introduced. </w:t>
      </w:r>
      <w:r>
        <w:rPr>
          <w:i/>
        </w:rPr>
        <w:t>M. florea</w:t>
      </w:r>
      <w:r>
        <w:t xml:space="preserve"> has </w:t>
      </w:r>
      <w:r w:rsidR="006B529E">
        <w:t xml:space="preserve">already </w:t>
      </w:r>
      <w:r>
        <w:t xml:space="preserve">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unsurpringsly given our conclusios, </w:t>
      </w:r>
      <w:r>
        <w:rPr>
          <w:i/>
        </w:rPr>
        <w:t>M. florea</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t xml:space="preserve">. </w:t>
      </w:r>
      <w:r>
        <w:rPr>
          <w:i/>
        </w:rPr>
        <w:t>M. florea</w:t>
      </w:r>
      <w:r>
        <w:t xml:space="preserve"> were seen feeding on more than 10 species of flowers during the fieldwork for this study (Wittische, unpublished); many hoverflies are known to be highly polyphagous </w:t>
      </w:r>
      <w:r>
        <w:fldChar w:fldCharType="begin"/>
      </w:r>
      <w:r w:rsidR="00FC5BA6">
        <w:instrText xml:space="preserve"> ADDIN ZOTERO_ITEM CSL_CITATION {"citationID":"LD2r78ms","properties":{"formattedCitation":"(Branquart and Hemptinne, 2000)","plainCitation":"(Branquart and Hemptinne, 2000)","noteIndex":0},"citationItems":[{"id":13166,"uris":["http://zotero.org/users/4948104/items/4QCQKBYR"],"itemData":{"id":13166,"type":"article-journal","abstract":"Adults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(Diptera","volume":"23","author":[{"family":"Branquart","given":"Etienne"},{"family":"Hemptinne","given":"Jean-Louis"}],"issued":{"date-parts":[["2000"]]}}}],"schema":"https://github.com/citation-style-language/schema/raw/master/csl-citation.json"} </w:instrText>
      </w:r>
      <w:r>
        <w:fldChar w:fldCharType="separate"/>
      </w:r>
      <w:r w:rsidR="00FC5BA6" w:rsidRPr="00FC5BA6">
        <w:rPr>
          <w:rFonts w:cs="Times New Roman"/>
        </w:rPr>
        <w:t>(Branquart and Hemptinne, 2000)</w:t>
      </w:r>
      <w:r>
        <w:fldChar w:fldCharType="end"/>
      </w:r>
      <w:r>
        <w:t xml:space="preserve">. Furthermore, given a similar climatic niche, widespread larval habitat, high dispersal ability and its tolerance for disturbance and urbanization suggested by our study, we expect </w:t>
      </w:r>
      <w:r>
        <w:rPr>
          <w:i/>
        </w:rPr>
        <w:t>M. florea</w:t>
      </w:r>
      <w:r>
        <w:t xml:space="preserve"> to spread further East in North America. </w:t>
      </w:r>
      <w:proofErr w:type="spellStart"/>
      <w:r>
        <w:rPr>
          <w:i/>
        </w:rPr>
        <w:t>Merodon</w:t>
      </w:r>
      <w:proofErr w:type="spellEnd"/>
      <w:r>
        <w:rPr>
          <w:i/>
        </w:rPr>
        <w:t xml:space="preserve"> </w:t>
      </w:r>
      <w:proofErr w:type="spellStart"/>
      <w:r w:rsidRPr="006809BE">
        <w:rPr>
          <w:i/>
        </w:rPr>
        <w:t>equestris</w:t>
      </w:r>
      <w:proofErr w:type="spellEnd"/>
      <w:r>
        <w:t xml:space="preserve"> is a European species now present in East Asia, North America, and Oceania </w:t>
      </w:r>
      <w:r>
        <w:fldChar w:fldCharType="begin"/>
      </w:r>
      <w:r w:rsidR="00FC5BA6">
        <w:instrText xml:space="preserve"> ADDIN ZOTERO_ITEM CSL_CITATION {"citationID":"dQjxP9lB","properties":{"formattedCitation":"(Hong et al., 2012; Thompson, 2008)","plainCitation":"(Hong et al., 2012; Thompson, 2008)","noteIndex":0},"citationItems":[{"id":13584,"uris":["http://zotero.org/users/4948104/items/RZI7A9Y3"],"itemData":{"id":13584,"type":"article-journal","abstract":"The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Christian"}],"issued":{"date-parts":[["2008",2,29]]}}}],"schema":"https://github.com/citation-style-language/schema/raw/master/csl-citation.json"} </w:instrText>
      </w:r>
      <w:r>
        <w:fldChar w:fldCharType="separate"/>
      </w:r>
      <w:r w:rsidR="00FC5BA6" w:rsidRPr="00FC5BA6">
        <w:rPr>
          <w:rFonts w:cs="Times New Roman"/>
        </w:rPr>
        <w:t>(Hong et al., 2012; Thompson, 2008)</w:t>
      </w:r>
      <w:r>
        <w:fldChar w:fldCharType="end"/>
      </w:r>
      <w:r>
        <w:t xml:space="preserve"> and is a major pest of daffodils. </w:t>
      </w:r>
      <w:proofErr w:type="spellStart"/>
      <w:r>
        <w:rPr>
          <w:i/>
        </w:rPr>
        <w:t>Eristalis</w:t>
      </w:r>
      <w:proofErr w:type="spellEnd"/>
      <w:r>
        <w:rPr>
          <w:i/>
        </w:rPr>
        <w:t xml:space="preserve"> </w:t>
      </w:r>
      <w:proofErr w:type="spellStart"/>
      <w:r>
        <w:rPr>
          <w:i/>
        </w:rPr>
        <w:t>tenax</w:t>
      </w:r>
      <w:proofErr w:type="spellEnd"/>
      <w:r>
        <w:t xml:space="preserve">, another European species, is a strong competitor due to its </w:t>
      </w:r>
      <w:proofErr w:type="spellStart"/>
      <w:r>
        <w:t>polyphagy</w:t>
      </w:r>
      <w:proofErr w:type="spellEnd"/>
      <w:r>
        <w:t xml:space="preserve">, strong dispersal and aggressive territorial behavior towards other pollinators </w:t>
      </w:r>
      <w:r>
        <w:fldChar w:fldCharType="begin"/>
      </w:r>
      <w:r w:rsidR="00FC5BA6">
        <w:instrText xml:space="preserve"> ADDIN ZOTERO_ITEM CSL_CITATION {"citationID":"CYI21csp","properties":{"formattedCitation":"(Wellington and Fitzpatrick, 1981)","plainCitation":"(Wellington and Fitzpatrick, 1981)","noteIndex":0},"citationItems":[{"id":13586,"uris":["http://zotero.org/users/4948104/items/637G6J6D"],"itemData":{"id":13586,"type":"article-journal","abstract":"When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fldChar w:fldCharType="separate"/>
      </w:r>
      <w:r w:rsidR="00FC5BA6" w:rsidRPr="00FC5BA6">
        <w:rPr>
          <w:rFonts w:cs="Times New Roman"/>
        </w:rPr>
        <w:t>(Wellington and Fitzpatrick, 1981)</w:t>
      </w:r>
      <w:r>
        <w:fldChar w:fldCharType="end"/>
      </w:r>
      <w:r>
        <w:t xml:space="preserve">. </w:t>
      </w:r>
      <w:r>
        <w:rPr>
          <w:i/>
        </w:rPr>
        <w:t xml:space="preserve">E. </w:t>
      </w:r>
      <w:proofErr w:type="spellStart"/>
      <w:r>
        <w:rPr>
          <w:i/>
        </w:rPr>
        <w:t>tenax</w:t>
      </w:r>
      <w:proofErr w:type="spellEnd"/>
      <w:r>
        <w:rPr>
          <w:i/>
        </w:rPr>
        <w:t xml:space="preserve"> </w:t>
      </w:r>
      <w:r>
        <w:t xml:space="preserve">has spread through North America and New Zealand where they reach high abundances. Finally, </w:t>
      </w:r>
      <w:proofErr w:type="spellStart"/>
      <w:r w:rsidRPr="006577A9">
        <w:rPr>
          <w:i/>
        </w:rPr>
        <w:t>Simosyrphus</w:t>
      </w:r>
      <w:proofErr w:type="spellEnd"/>
      <w:r w:rsidRPr="006577A9">
        <w:rPr>
          <w:i/>
        </w:rPr>
        <w:t xml:space="preserve"> </w:t>
      </w:r>
      <w:proofErr w:type="spellStart"/>
      <w:r w:rsidRPr="006577A9">
        <w:rPr>
          <w:i/>
        </w:rPr>
        <w:t>grandicornis</w:t>
      </w:r>
      <w:proofErr w:type="spellEnd"/>
      <w:r>
        <w:t xml:space="preserve"> is an Australasian species which </w:t>
      </w:r>
      <w:r w:rsidRPr="006577A9">
        <w:t xml:space="preserve">has been </w:t>
      </w:r>
      <w:r>
        <w:t>introduced</w:t>
      </w:r>
      <w:r w:rsidRPr="006577A9">
        <w:t xml:space="preserve"> to Hawaii and French Polynesia where no previous hoverfly species </w:t>
      </w:r>
      <w:r>
        <w:t xml:space="preserve">occurred </w:t>
      </w:r>
      <w:r>
        <w:fldChar w:fldCharType="begin"/>
      </w:r>
      <w:r w:rsidR="00FC5BA6">
        <w:instrText xml:space="preserve"> ADDIN ZOTERO_ITEM CSL_CITATION {"citationID":"MxqDOSJE","properties":{"formattedCitation":"(Doyle et al., 2020)","plainCitation":"(Doyle et al., 2020)","noteIndex":0},"citationItems":[{"id":13187,"uris":["http://zotero.org/users/4948104/items/HTQGGHE6"],"itemData":{"id":13187,"type":"article-journal","abstract":"Pollinator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R."}],"issued":{"date-parts":[["2020",5,27]]}}}],"schema":"https://github.com/citation-style-language/schema/raw/master/csl-citation.json"} </w:instrText>
      </w:r>
      <w:r>
        <w:fldChar w:fldCharType="separate"/>
      </w:r>
      <w:r w:rsidR="00FC5BA6" w:rsidRPr="00FC5BA6">
        <w:rPr>
          <w:rFonts w:cs="Times New Roman"/>
        </w:rPr>
        <w:t>(Doyle et al., 2020)</w:t>
      </w:r>
      <w:r>
        <w:fldChar w:fldCharType="end"/>
      </w:r>
      <w:r>
        <w:t>, which may have affected the floral and pollinator communities. The lack of knowledge about hoverfly introductions and their potential consequences on biodiversity is dire and further highlight why it is crucial to understand</w:t>
      </w:r>
      <w:r w:rsidRPr="00682835">
        <w:t xml:space="preserve"> hoverfly dispersal and their</w:t>
      </w:r>
      <w:r>
        <w:t xml:space="preserve"> population </w:t>
      </w:r>
      <w:r w:rsidRPr="00682835">
        <w:t>dynamics</w:t>
      </w:r>
      <w:r>
        <w:t>.</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7C472222" w14:textId="071DCAFE" w:rsidR="00965DCE" w:rsidRPr="00B34036" w:rsidRDefault="00B95C2C" w:rsidP="006F501D">
      <w:pPr>
        <w:rPr>
          <w:b/>
        </w:rPr>
      </w:pPr>
      <w:r w:rsidRPr="00B95C2C">
        <w:t xml:space="preserve">We thank </w:t>
      </w:r>
      <w:proofErr w:type="spellStart"/>
      <w:r w:rsidR="00375753" w:rsidRPr="00375753">
        <w:t>Balint</w:t>
      </w:r>
      <w:proofErr w:type="spellEnd"/>
      <w:r w:rsidR="00375753" w:rsidRPr="00375753">
        <w:t xml:space="preserve"> </w:t>
      </w:r>
      <w:proofErr w:type="spellStart"/>
      <w:r w:rsidR="00375753" w:rsidRPr="00375753">
        <w:t>Andrasi</w:t>
      </w:r>
      <w:proofErr w:type="spellEnd"/>
      <w:r w:rsidR="00375753">
        <w:t xml:space="preserve">, Dylan </w:t>
      </w:r>
      <w:proofErr w:type="spellStart"/>
      <w:r w:rsidR="00375753">
        <w:t>Thissen</w:t>
      </w:r>
      <w:proofErr w:type="spellEnd"/>
      <w:r w:rsidR="00375753">
        <w:t>,</w:t>
      </w:r>
      <w:r w:rsidR="00375753" w:rsidRPr="00375753">
        <w:t xml:space="preserve"> </w:t>
      </w:r>
      <w:proofErr w:type="spellStart"/>
      <w:r w:rsidR="00692790">
        <w:t>António</w:t>
      </w:r>
      <w:proofErr w:type="spellEnd"/>
      <w:r w:rsidR="00692790">
        <w:t xml:space="preserve"> </w:t>
      </w:r>
      <w:r w:rsidR="00375753">
        <w:t xml:space="preserve">Cruz, Caroline Grounds, </w:t>
      </w:r>
      <w:r w:rsidR="00375753" w:rsidRPr="00375753">
        <w:t xml:space="preserve">Fernanda Andrea Herrera </w:t>
      </w:r>
      <w:proofErr w:type="spellStart"/>
      <w:r w:rsidR="00375753" w:rsidRPr="00375753">
        <w:t>Mesías</w:t>
      </w:r>
      <w:proofErr w:type="spellEnd"/>
      <w:r w:rsidR="00375753">
        <w:t xml:space="preserve">, </w:t>
      </w:r>
      <w:r w:rsidR="00D8188A">
        <w:t xml:space="preserve">Monique Kirsch, </w:t>
      </w:r>
      <w:proofErr w:type="spellStart"/>
      <w:r w:rsidR="006C0B21">
        <w:t>Jérôme</w:t>
      </w:r>
      <w:proofErr w:type="spellEnd"/>
      <w:r w:rsidR="006C0B21">
        <w:t xml:space="preserv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We thank </w:t>
      </w:r>
      <w:r w:rsidR="00927ECD">
        <w:t xml:space="preserve">local authorities </w:t>
      </w:r>
      <w:r w:rsidR="00375753">
        <w:t>f</w:t>
      </w:r>
      <w:r w:rsidR="00875563">
        <w:t>or</w:t>
      </w:r>
      <w:r w:rsidR="00455660">
        <w:t xml:space="preserve"> granting us </w:t>
      </w:r>
      <w:r w:rsidR="00375753">
        <w:t>netting permits.</w:t>
      </w:r>
    </w:p>
    <w:p w14:paraId="054A7D25" w14:textId="181335DA" w:rsidR="00F622C3" w:rsidRDefault="00965DCE" w:rsidP="00F266AA">
      <w:pPr>
        <w:pStyle w:val="Heading1"/>
        <w:numPr>
          <w:ilvl w:val="0"/>
          <w:numId w:val="0"/>
        </w:numPr>
      </w:pPr>
      <w:r>
        <w:br w:type="page"/>
      </w:r>
      <w:r w:rsidR="00F622C3">
        <w:lastRenderedPageBreak/>
        <w:t>REFERENCES</w:t>
      </w:r>
    </w:p>
    <w:p w14:paraId="7F61D6FE" w14:textId="77777777" w:rsidR="00B5130F" w:rsidRDefault="00F622C3" w:rsidP="00B5130F">
      <w:pPr>
        <w:pStyle w:val="Bibliography"/>
      </w:pPr>
      <w:r>
        <w:fldChar w:fldCharType="begin"/>
      </w:r>
      <w:r w:rsidR="00FC5BA6">
        <w:rPr>
          <w:lang w:val="en-GB"/>
        </w:rPr>
        <w:instrText xml:space="preserve"> ADDIN ZOTERO_BIBL {"uncited":[],"omitted":[],"custom":[]} CSL_BIBLIOGRAPHY </w:instrText>
      </w:r>
      <w:r>
        <w:fldChar w:fldCharType="separate"/>
      </w:r>
      <w:proofErr w:type="spellStart"/>
      <w:r w:rsidR="00B5130F">
        <w:t>Adamack</w:t>
      </w:r>
      <w:proofErr w:type="spellEnd"/>
      <w:r w:rsidR="00B5130F">
        <w:t>, A.T., Gruber, B., 2014. PopGenReport: simplifying basic population genetic analyses in R. Methods in Ecology and Evolution 4.</w:t>
      </w:r>
    </w:p>
    <w:p w14:paraId="6781D644" w14:textId="77777777" w:rsidR="00B5130F" w:rsidRDefault="00B5130F" w:rsidP="00B5130F">
      <w:pPr>
        <w:pStyle w:val="Bibliography"/>
      </w:pPr>
      <w:r>
        <w:t>Agapow, P.M., Burt, A., 2001. Indices of multilocus linkage disequilibrium. Molecular Ecology Notes 1, 101–102. https://doi.org/10.1046/j.1471-8278.2000.00014.x</w:t>
      </w:r>
    </w:p>
    <w:p w14:paraId="7B05E29D" w14:textId="77777777" w:rsidR="00B5130F" w:rsidRDefault="00B5130F" w:rsidP="00B5130F">
      <w:pPr>
        <w:pStyle w:val="Bibliography"/>
      </w:pPr>
      <w:r>
        <w:t xml:space="preserve">Aubert, J., Goeldlin de Tiefenau, P., 1981. </w:t>
      </w:r>
      <w:r w:rsidRPr="00B5130F">
        <w:rPr>
          <w:lang w:val="fr-FR"/>
        </w:rPr>
        <w:t xml:space="preserve">Observations sur les migrations de Syrphides (Dipt.) dans les Alpes de Suisse occidentale. </w:t>
      </w:r>
      <w:r>
        <w:t>Journal of the Swiss Entomological Society 54. https://doi.org/10.5169/SEALS-402013</w:t>
      </w:r>
    </w:p>
    <w:p w14:paraId="2BD3A12A" w14:textId="77777777" w:rsidR="00B5130F" w:rsidRDefault="00B5130F" w:rsidP="00B5130F">
      <w:pPr>
        <w:pStyle w:val="Bibliography"/>
      </w:pPr>
      <w:r w:rsidRPr="00B5130F">
        <w:rPr>
          <w:lang w:val="fr-FR"/>
        </w:rPr>
        <w:t xml:space="preserve">Aubert, J., Goeldlin, P., Lyon, J.-P., 1969. Essais de marquage et de reprise d’insectes migrateurs en automne 1968. </w:t>
      </w:r>
      <w:r>
        <w:t>Journal of the Swiss Entomological Society 42. https://doi.org/10.5169/SEALS-401588</w:t>
      </w:r>
    </w:p>
    <w:p w14:paraId="70DA931C" w14:textId="77777777" w:rsidR="00B5130F" w:rsidRDefault="00B5130F" w:rsidP="00B5130F">
      <w:pPr>
        <w:pStyle w:val="Bibliography"/>
      </w:pPr>
      <w:r>
        <w:t>Bickel, D., Pape, T., Meier, R. (Eds.), 2009. Diptera Diversity: Status, Challenges and Tools. Brill.</w:t>
      </w:r>
    </w:p>
    <w:p w14:paraId="0C4A849F" w14:textId="77777777" w:rsidR="00B5130F" w:rsidRDefault="00B5130F" w:rsidP="00B5130F">
      <w:pPr>
        <w:pStyle w:val="Bibliography"/>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21CE8D86" w14:textId="77777777" w:rsidR="00B5130F" w:rsidRDefault="00B5130F" w:rsidP="00B5130F">
      <w:pPr>
        <w:pStyle w:val="Bibliography"/>
      </w:pPr>
      <w:r>
        <w:t>Blair, C., Weigel, D.E., Balazik, M., Keeley, A.T.H., Walker, F.M., Landguth, E., Cushman, S., Murphy, M., Waits, L., Balkenhol, N., 2012. A simulation-based evaluation of methods for inferring linear barriers to gene flow. Molecular Ecology Resources 12, 822–833. https://doi.org/10.1111/j.1755-0998.2012.03151.x</w:t>
      </w:r>
    </w:p>
    <w:p w14:paraId="0C180548" w14:textId="77777777" w:rsidR="00B5130F" w:rsidRDefault="00B5130F" w:rsidP="00B5130F">
      <w:pPr>
        <w:pStyle w:val="Bibliography"/>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Biological Reviews 87, 290–312. https://doi.org/10.1111/j.1469-185X.2011.00201.x</w:t>
      </w:r>
    </w:p>
    <w:p w14:paraId="108F4618" w14:textId="77777777" w:rsidR="00B5130F" w:rsidRDefault="00B5130F" w:rsidP="00B5130F">
      <w:pPr>
        <w:pStyle w:val="Bibliography"/>
      </w:pPr>
      <w:r>
        <w:t>Bowler, D.E., Benton, T.G., 2005. Causes and consequences of animal dispersal strategies: relating individual behaviour to spatial dynamics. Biological Reviews 80, 205–225. https://doi.org/10.1017/S1464793104006645</w:t>
      </w:r>
    </w:p>
    <w:p w14:paraId="6380BD44" w14:textId="77777777" w:rsidR="00B5130F" w:rsidRDefault="00B5130F" w:rsidP="00B5130F">
      <w:pPr>
        <w:pStyle w:val="Bibliography"/>
      </w:pPr>
      <w:r>
        <w:t>Branquart, E., Hemptinne, J.-L., 2000. Selectivity in the exploitation of floral resources by hoverflies (Diptera: Syrphinae). Ecography 23, 732–742. https://doi.org/10.1111/j.1600-0587.2000.tb00316.x</w:t>
      </w:r>
    </w:p>
    <w:p w14:paraId="5CE9BC88" w14:textId="77777777" w:rsidR="00B5130F" w:rsidRDefault="00B5130F" w:rsidP="00B5130F">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0DF29DA7" w14:textId="77777777" w:rsidR="00B5130F" w:rsidRDefault="00B5130F" w:rsidP="00B5130F">
      <w:pPr>
        <w:pStyle w:val="Bibliography"/>
      </w:pPr>
      <w:r>
        <w:t>Brookfield, J.F.Y., 1996. A simple new method for estimating null allele frequency from heterozygote deficiency. Molecular Ecology 5, 453–455.</w:t>
      </w:r>
    </w:p>
    <w:p w14:paraId="2F96C6E4" w14:textId="77777777" w:rsidR="00B5130F" w:rsidRDefault="00B5130F" w:rsidP="00B5130F">
      <w:pPr>
        <w:pStyle w:val="Bibliography"/>
      </w:pPr>
      <w:r>
        <w:t>Broquet, T., Petit, E.J., 2009. Molecular Estimation of Dispersal for Ecology and Population Genetics. Annual Review of Ecology, Evolution, and Systematics 40, 193–216. https://doi.org/10.1146/annurev.ecolsys.110308.120324</w:t>
      </w:r>
    </w:p>
    <w:p w14:paraId="4658EDA6" w14:textId="77777777" w:rsidR="00B5130F" w:rsidRDefault="00B5130F" w:rsidP="00B5130F">
      <w:pPr>
        <w:pStyle w:val="Bibliography"/>
      </w:pPr>
      <w:r>
        <w:t>BugGuide, 2022. Species account - Myathropa florea.</w:t>
      </w:r>
    </w:p>
    <w:p w14:paraId="5CA1C475" w14:textId="77777777" w:rsidR="00B5130F" w:rsidRDefault="00B5130F" w:rsidP="00B5130F">
      <w:pPr>
        <w:pStyle w:val="Bibliography"/>
      </w:pPr>
      <w:r>
        <w:t>Cayuela, H., Rougemont, Q., Prunier, J.G., Moore, J.S., Clobert, J., Besnard, A., Bernatchez, L., 2018. Demographic and genetic approaches to study dispersal in wild animal populations: A methodological review. Molecular Ecology 27, 3976–4010. https://doi.org/10.1111/mec.14848</w:t>
      </w:r>
    </w:p>
    <w:p w14:paraId="44FA9D76" w14:textId="77777777" w:rsidR="00B5130F" w:rsidRDefault="00B5130F" w:rsidP="00B5130F">
      <w:pPr>
        <w:pStyle w:val="Bibliography"/>
      </w:pPr>
      <w:r>
        <w:lastRenderedPageBreak/>
        <w:t>Culley, T.M., Stamper, T.I., Stokes, R.L., Brzyski, J.R., Hardiman, N.A., Klooster, M.R., Merritt, B.J., 2013. An efficient technique for primer development and application that integrates fluorescent labeling and multiplex PCR. Applications in Plant Sciences 1, 1300027. https://doi.org/10.3732/apps.1300027</w:t>
      </w:r>
    </w:p>
    <w:p w14:paraId="5D77935A" w14:textId="77777777" w:rsidR="00B5130F" w:rsidRDefault="00B5130F" w:rsidP="00B5130F">
      <w:pPr>
        <w:pStyle w:val="Bibliography"/>
      </w:pPr>
      <w:r>
        <w:t>Curdes, G., 1998. Urban form and innovation: The case of Cologne. Urban Morphology 2, 11–18.</w:t>
      </w:r>
    </w:p>
    <w:p w14:paraId="4F5CDB94" w14:textId="77777777" w:rsidR="00B5130F" w:rsidRDefault="00B5130F" w:rsidP="00B5130F">
      <w:pPr>
        <w:pStyle w:val="Bibliography"/>
      </w:pPr>
      <w:r>
        <w:t>Davis, E.S., Murray, T.E., Fitzpatrick, Ú., Brown, M.J.F., Paxton, R.J., 2010. Landscape effects on extremely fragmented populations of a rare solitary bee, Colletes floralis. Molecular Ecology 19, 4922–4935. https://doi.org/10.1111/j.1365-294X.2010.04868.x</w:t>
      </w:r>
    </w:p>
    <w:p w14:paraId="3860AE95" w14:textId="77777777" w:rsidR="00B5130F" w:rsidRDefault="00B5130F" w:rsidP="00B5130F">
      <w:pPr>
        <w:pStyle w:val="Bibliography"/>
      </w:pPr>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 Identifying key knowledge needs for evidence-based conservation of wild insect pollinators: a collaborative cross-sectoral exercise. Insect Conservation and Diversity 6, 435–446. https://doi.org/10.1111/j.1752-4598.2012.00221.x</w:t>
      </w:r>
    </w:p>
    <w:p w14:paraId="70166098" w14:textId="77777777" w:rsidR="00B5130F" w:rsidRDefault="00B5130F" w:rsidP="00B5130F">
      <w:pPr>
        <w:pStyle w:val="Bibliography"/>
      </w:pPr>
      <w:r>
        <w:t>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5, 1453–1461. https://doi.org/10.1038/s41559-021-01534-9</w:t>
      </w:r>
    </w:p>
    <w:p w14:paraId="25849896" w14:textId="77777777" w:rsidR="00B5130F" w:rsidRDefault="00B5130F" w:rsidP="00B5130F">
      <w:pPr>
        <w:pStyle w:val="Bibliography"/>
      </w:pPr>
      <w:r>
        <w:t>Doyle, T., Hawkes, W.L.S., Massy, R., Powney, G.D., Menz, M.H.M., Wotton, K.R., 2020. Pollination by hoverflies in the Anthropocene. Proceedings of the Royal Society B: Biological Sciences 287, 20200508. https://doi.org/10.1098/rspb.2020.0508</w:t>
      </w:r>
    </w:p>
    <w:p w14:paraId="6ADE8596" w14:textId="77777777" w:rsidR="00B5130F" w:rsidRDefault="00B5130F" w:rsidP="00B5130F">
      <w:pPr>
        <w:pStyle w:val="Bibliography"/>
      </w:pPr>
      <w:r>
        <w:t>Doyle, T., Jimenez-Guri, E., Hawkes, W.L.S., Massy, R., Mantica, F., Permanyer, J., Cozzuto, L., Hermoso Pulido, T., Baril, T., Hayward, A., Irimia, M., Chapman, J.W., Bass, C., Wotton, K.R., 2022. Genome-wide transcriptomic changes reveal the genetic pathways involved in insect migration. Molecular Ecology 31, 4332–4350. https://doi.org/10.1111/mec.16588</w:t>
      </w:r>
    </w:p>
    <w:p w14:paraId="75B7B630" w14:textId="77777777" w:rsidR="00B5130F" w:rsidRDefault="00B5130F" w:rsidP="00B5130F">
      <w:pPr>
        <w:pStyle w:val="Bibliography"/>
      </w:pPr>
      <w:r>
        <w:t>Dreier, S., Redhead, J.W., Warren, I.A., Bourke, A.F.G., Heard, M.S., Jordan, W.C., Sumner, S., Wang, J., Carvell, C., 2014. Fine-scale spatial genetic structure of common and declining bumble bees across an agricultural landscape. Molecular Ecology 23, 3384–3395. https://doi.org/10.1111/mec.12823</w:t>
      </w:r>
    </w:p>
    <w:p w14:paraId="23D54274" w14:textId="77777777" w:rsidR="00B5130F" w:rsidRDefault="00B5130F" w:rsidP="00B5130F">
      <w:pPr>
        <w:pStyle w:val="Bibliography"/>
      </w:pPr>
      <w:r>
        <w:t>European Environment Agency, 2016. Landscape fragmentation Effective Mesh Density: major and medium anthropogenic fragmenting elements (FGA2-S) - version 2.0, Nov. 2016.</w:t>
      </w:r>
    </w:p>
    <w:p w14:paraId="47632F16" w14:textId="77777777" w:rsidR="00B5130F" w:rsidRDefault="00B5130F" w:rsidP="00B5130F">
      <w:pPr>
        <w:pStyle w:val="Bibliography"/>
      </w:pPr>
      <w:r>
        <w:t>Frantine-Silva, W., Augusto, S.C., Tosta, T.H.A., Pacheco, A.S., Kotelok-Diniz, T., Apolinário da Silva, C., Sofia, S.H., 2021. Genetic diversity and population structure of orchid bees from the Brazilian savanna. Journal of Apicultural Research 60, 385–395. https://doi.org/10.1080/00218839.2021.1898788</w:t>
      </w:r>
    </w:p>
    <w:p w14:paraId="43123BC1" w14:textId="77777777" w:rsidR="00B5130F" w:rsidRDefault="00B5130F" w:rsidP="00B5130F">
      <w:pPr>
        <w:pStyle w:val="Bibliography"/>
      </w:pPr>
      <w:r>
        <w:t>Frantz, A.C., Cellina, S., Krier, A., Schley, L., Burke, T., 2009. Using spatial Bayesian methods to determine the genetic structure of a continuously distributed population: Clusters or isolation by distance? Journal of Applied Ecology 46, 493–505. https://doi.org/10.1111/j.1365-2664.2008.01606.x</w:t>
      </w:r>
    </w:p>
    <w:p w14:paraId="2D8B3002" w14:textId="77777777" w:rsidR="00B5130F" w:rsidRDefault="00B5130F" w:rsidP="00B5130F">
      <w:pPr>
        <w:pStyle w:val="Bibliography"/>
      </w:pPr>
      <w:r>
        <w:lastRenderedPageBreak/>
        <w:t>Gallai, N., Salles, J.-M., Settele, J., Vaissière, B.E., 2009. Economic valuation of the vulnerability of world agriculture confronted with pollinator decline. Ecological Economics 68, 810–821. https://doi.org/10.1016/j.ecolecon.2008.06.014</w:t>
      </w:r>
    </w:p>
    <w:p w14:paraId="4FBD8ED9" w14:textId="77777777" w:rsidR="00B5130F" w:rsidRDefault="00B5130F" w:rsidP="00B5130F">
      <w:pPr>
        <w:pStyle w:val="Bibliography"/>
      </w:pPr>
      <w:r>
        <w:t>Gao, B., Wotton, K.R., Hawkes, W.L.S., Menz, M.H.M., Reynolds, D.R., Zhai, B.-P., Hu, G., Chapman, J.W., 2020. Adaptive strategies of high-flying migratory hoverflies in response to wind currents. Proceedings of the Royal Society B: Biological Sciences 287, 20200406. https://doi.org/10.1098/rspb.2020.0406</w:t>
      </w:r>
    </w:p>
    <w:p w14:paraId="361DF7AB" w14:textId="77777777" w:rsidR="00B5130F" w:rsidRDefault="00B5130F" w:rsidP="00B5130F">
      <w:pPr>
        <w:pStyle w:val="Bibliography"/>
      </w:pPr>
      <w:r w:rsidRPr="00B5130F">
        <w:rPr>
          <w:lang w:val="fr-FR"/>
        </w:rPr>
        <w:t xml:space="preserve">Gauffre, B., Estoup, A., Bretagnolle, V., Cosson, J.F., 2008. </w:t>
      </w:r>
      <w:r>
        <w:t>Spatial genetic structure of a small rodent in a heterogeneous landscape. Molecular Ecology 17, 4619–4629. https://doi.org/10.1111/j.1365-294X.2008.03950.x</w:t>
      </w:r>
    </w:p>
    <w:p w14:paraId="36B336FC" w14:textId="77777777" w:rsidR="00B5130F" w:rsidRDefault="00B5130F" w:rsidP="00B5130F">
      <w:pPr>
        <w:pStyle w:val="Bibliography"/>
      </w:pPr>
      <w:r>
        <w:t>GBIF.org, 2022. Occurrence Download - Myathropa florea - North America (05 September 2022) https://doi.org/10.15468/dl.ctqqr2.</w:t>
      </w:r>
    </w:p>
    <w:p w14:paraId="14512F8D" w14:textId="77777777" w:rsidR="00B5130F" w:rsidRDefault="00B5130F" w:rsidP="00B5130F">
      <w:pPr>
        <w:pStyle w:val="Bibliography"/>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0999EB13" w14:textId="77777777" w:rsidR="00B5130F" w:rsidRDefault="00B5130F" w:rsidP="00B5130F">
      <w:pPr>
        <w:pStyle w:val="Bibliography"/>
      </w:pPr>
      <w:r>
        <w:t>Glück, M., Geue, J.C., Thomassen, H.A., 2022. Environmental differences explain subtle yet detectable genetic structure in a widespread pollinator. BMC Ecol Evo 22, 8. https://doi.org/10.1186/s12862-022-01963-5</w:t>
      </w:r>
    </w:p>
    <w:p w14:paraId="70DBE9E0" w14:textId="77777777" w:rsidR="00B5130F" w:rsidRDefault="00B5130F" w:rsidP="00B5130F">
      <w:pPr>
        <w:pStyle w:val="Bibliography"/>
      </w:pPr>
      <w:r>
        <w:t>Greenleaf, S.S., Williams, N.M., Winfree, R., Kremen, C., 2007. Bee foraging ranges and their relationship to body size. Oecologia 153, 589–596. https://doi.org/10.1007/s00442-007-0752-9</w:t>
      </w:r>
    </w:p>
    <w:p w14:paraId="3FA83C7F" w14:textId="77777777" w:rsidR="00B5130F" w:rsidRDefault="00B5130F" w:rsidP="00B5130F">
      <w:pPr>
        <w:pStyle w:val="Bibliography"/>
      </w:pPr>
      <w:r>
        <w:t>Guo, S.W., Thompson, E.A., 1992. Performing the exact test of Hardy-Weinberg proportion for multiple alleles. Biometrics 48, 361–372.</w:t>
      </w:r>
    </w:p>
    <w:p w14:paraId="3425B35F" w14:textId="77777777" w:rsidR="00B5130F" w:rsidRDefault="00B5130F" w:rsidP="00B5130F">
      <w:pPr>
        <w:pStyle w:val="Bibliography"/>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Conservation Biology 31, 24–29. https://doi.org/10.1111/cobi.12840</w:t>
      </w:r>
    </w:p>
    <w:p w14:paraId="255F182F" w14:textId="77777777" w:rsidR="00B5130F" w:rsidRDefault="00B5130F" w:rsidP="00B5130F">
      <w:pPr>
        <w:pStyle w:val="Bibliography"/>
      </w:pPr>
      <w:r w:rsidRPr="00B5130F">
        <w:rPr>
          <w:lang w:val="de-LU"/>
        </w:rPr>
        <w:t xml:space="preserve">Hallmann, C.A., Sorg, M., Jongejans, E., Siepel, H., Hofland, N., Schwan, H., Stenmans, W., Müller, A., Sumser, H., Hörren, T., Goulson, D., Kroon, H. de, 2017. </w:t>
      </w:r>
      <w:r>
        <w:t>More than 75 percent decline over 27 years in total flying insect biomass in protected areas. PLOS ONE 12, e0185809. https://doi.org/10.1371/journal.pone.0185809</w:t>
      </w:r>
    </w:p>
    <w:p w14:paraId="4C2F804A" w14:textId="77777777" w:rsidR="00B5130F" w:rsidRDefault="00B5130F" w:rsidP="00B5130F">
      <w:pPr>
        <w:pStyle w:val="Bibliography"/>
      </w:pPr>
      <w:r>
        <w:t>Hodgkiss, D., Brown, M.J.F., Fountain, M.T., 2018. Syrphine hoverflies are effective pollinators of commercial strawberry. Journal of Pollination Ecology 22, 55–66. https://doi.org/10.26786/1920-7603(2018)five</w:t>
      </w:r>
    </w:p>
    <w:p w14:paraId="55598015" w14:textId="77777777" w:rsidR="00B5130F" w:rsidRDefault="00B5130F" w:rsidP="00B5130F">
      <w:pPr>
        <w:pStyle w:val="Bibliography"/>
      </w:pPr>
      <w:r>
        <w:t>Hong, K.-J., Lee, J.-H., Lee, G.-S., Lee, S., 2012. The status quo of invasive alien insect species and plant quarantine in Korea. Journal of Asia-Pacific Entomology 15, 521–532. https://doi.org/10.1016/j.aspen.2012.06.003</w:t>
      </w:r>
    </w:p>
    <w:p w14:paraId="6593805D" w14:textId="77777777" w:rsidR="00B5130F" w:rsidRDefault="00B5130F" w:rsidP="00B5130F">
      <w:pPr>
        <w:pStyle w:val="Bibliography"/>
      </w:pPr>
      <w:r>
        <w:t>Jaeger, J.A.G., Soukup, T., Schwick, C., Madriñán, L.F., Kienast, F., 2016. Landscape Fragmentation in Europe, in: European Landscape Dynamics. CRC press, Boca Raton, Florida, USA, p. 42.</w:t>
      </w:r>
    </w:p>
    <w:p w14:paraId="66B06EB6" w14:textId="77777777" w:rsidR="00B5130F" w:rsidRDefault="00B5130F" w:rsidP="00B5130F">
      <w:pPr>
        <w:pStyle w:val="Bibliography"/>
      </w:pPr>
      <w:r>
        <w:lastRenderedPageBreak/>
        <w:t>Janes, J.K., Miller, J.M., Dupuis, J.R., Malenfant, R.M., Gorrell, J.C., Cullingham, C.I., Andrew, R.L., 2017. The K = 2 conundrum. Molecular Ecology 26, 3594–3602. https://doi.org/10.1111/mec.14187</w:t>
      </w:r>
    </w:p>
    <w:p w14:paraId="199430C9" w14:textId="77777777" w:rsidR="00B5130F" w:rsidRDefault="00B5130F" w:rsidP="00B5130F">
      <w:pPr>
        <w:pStyle w:val="Bibliography"/>
      </w:pPr>
      <w:r>
        <w:t>Jauker, F., Diekötter, T., Schwarzbach, F., Wolters, V., 2009. Pollinator dispersal in an agricultural matrix: opposing responses of wild bees and hoverflies to landscape structure and distance from main habitat. Landscape Ecol 24, 547–555. https://doi.org/10.1007/s10980-009-9331-2</w:t>
      </w:r>
    </w:p>
    <w:p w14:paraId="65203B60" w14:textId="77777777" w:rsidR="00B5130F" w:rsidRDefault="00B5130F" w:rsidP="00B5130F">
      <w:pPr>
        <w:pStyle w:val="Bibliography"/>
      </w:pPr>
      <w:r>
        <w:t>Jauker, F., Jauker, B., Grass, I., Steffan-Dewenter, I., Wolters, V., 2019. Partitioning wild bee and hoverfly contributions to plant–pollinator network structure in fragmented habitats. Ecology 100, e02569. https://doi.org/10.1002/ecy.2569</w:t>
      </w:r>
    </w:p>
    <w:p w14:paraId="2092C019" w14:textId="77777777" w:rsidR="00B5130F" w:rsidRDefault="00B5130F" w:rsidP="00B5130F">
      <w:pPr>
        <w:pStyle w:val="Bibliography"/>
      </w:pPr>
      <w:r>
        <w:t>Jha, S., Kremen, C., 2013. Urban land use limits regional bumble bee gene flow. Molecular Ecology 22, 2483–2495. https://doi.org/10.1111/mec.12275</w:t>
      </w:r>
    </w:p>
    <w:p w14:paraId="38E039FA" w14:textId="77777777" w:rsidR="00B5130F" w:rsidRDefault="00B5130F" w:rsidP="00B5130F">
      <w:pPr>
        <w:pStyle w:val="Bibliography"/>
      </w:pPr>
      <w:r>
        <w:t>Jia, H., Liu, Y., Li, X., Li, H., Pan, Y., Hu, C., Zhou, X., Wyckhuys, K.A., Wu, K., 2022. Windborne migration amplifies insect-mediated pollination services. eLife 11, e76230. https://doi.org/10.7554/eLife.76230</w:t>
      </w:r>
    </w:p>
    <w:p w14:paraId="0D1CFCD2" w14:textId="77777777" w:rsidR="00B5130F" w:rsidRDefault="00B5130F" w:rsidP="00B5130F">
      <w:pPr>
        <w:pStyle w:val="Bibliography"/>
      </w:pPr>
      <w:r>
        <w:t>Jombart, T., 2008. Adegenet: A R package for the multivariate analysis of genetic markers. Bioinformatics 24, 1403–1405. https://doi.org/10.1093/bioinformatics/btn129</w:t>
      </w:r>
    </w:p>
    <w:p w14:paraId="2C1BC554" w14:textId="77777777" w:rsidR="00B5130F" w:rsidRDefault="00B5130F" w:rsidP="00B5130F">
      <w:pPr>
        <w:pStyle w:val="Bibliography"/>
      </w:pPr>
      <w:r>
        <w:t>Jombart, T., Ahmed, I., 2011. adegenet 1.3-1: New tools for the analysis of genome-wide SNP data. Bioinformatics 27, 3070–3071. https://doi.org/10.1093/bioinformatics/btr521</w:t>
      </w:r>
    </w:p>
    <w:p w14:paraId="406DF478" w14:textId="77777777" w:rsidR="00B5130F" w:rsidRDefault="00B5130F" w:rsidP="00B5130F">
      <w:pPr>
        <w:pStyle w:val="Bibliography"/>
      </w:pPr>
      <w:r>
        <w:t>Jombart, T., Collins, C., 2022. A tutorial for Discriminant Analysis of Principal Components (DAPC) using adegenet 2.1.6.</w:t>
      </w:r>
    </w:p>
    <w:p w14:paraId="554867F9" w14:textId="77777777" w:rsidR="00B5130F" w:rsidRDefault="00B5130F" w:rsidP="00B5130F">
      <w:pPr>
        <w:pStyle w:val="Bibliography"/>
      </w:pPr>
      <w:r w:rsidRPr="00B5130F">
        <w:rPr>
          <w:lang w:val="fr-FR"/>
        </w:rPr>
        <w:t xml:space="preserve">Jombart, T., Devillard, S., Balloux, F., 2010. </w:t>
      </w:r>
      <w:r>
        <w:t>Discriminant analysis of principal components: a new method for the analysis of genetically structured populations. BMC genetics 11, 94. https://doi.org/10.1186/1471-2156-11-94</w:t>
      </w:r>
    </w:p>
    <w:p w14:paraId="55C9A721" w14:textId="77777777" w:rsidR="00B5130F" w:rsidRDefault="00B5130F" w:rsidP="00B5130F">
      <w:pPr>
        <w:pStyle w:val="Bibliography"/>
      </w:pPr>
      <w:r>
        <w:t>Jombart, T., Pontier, D., Dufour,  a-B., 2009. Genetic markers in the playground of multivariate analysis. Heredity 102, 330–341. https://doi.org/10.1038/hdy.2008.130</w:t>
      </w:r>
    </w:p>
    <w:p w14:paraId="341D7781" w14:textId="77777777" w:rsidR="00B5130F" w:rsidRPr="00B5130F" w:rsidRDefault="00B5130F" w:rsidP="00B5130F">
      <w:pPr>
        <w:pStyle w:val="Bibliography"/>
        <w:rPr>
          <w:lang w:val="de-LU"/>
        </w:rPr>
      </w:pPr>
      <w:r>
        <w:t xml:space="preserve">Kamvar, Z.N., Tabima, J.F., Gr̈unwald, N.J., 2014. Poppr: An R package for genetic analysis of populations with clonal, partially clonal, and/or sexual reproduction. </w:t>
      </w:r>
      <w:r w:rsidRPr="00B5130F">
        <w:rPr>
          <w:lang w:val="de-LU"/>
        </w:rPr>
        <w:t>PeerJ 2014, 1–14. https://doi.org/10.7717/peerj.281</w:t>
      </w:r>
    </w:p>
    <w:p w14:paraId="697E5385" w14:textId="77777777" w:rsidR="00B5130F" w:rsidRDefault="00B5130F" w:rsidP="00B5130F">
      <w:pPr>
        <w:pStyle w:val="Bibliography"/>
      </w:pPr>
      <w:r w:rsidRPr="00B5130F">
        <w:rPr>
          <w:lang w:val="de-LU"/>
        </w:rPr>
        <w:t xml:space="preserve">Kleijn, D., van Langevelde, F., 2006. </w:t>
      </w:r>
      <w:r>
        <w:t>Interacting effects of landscape context and habitat quality on flower visiting insects in agricultural landscapes. Basic and Applied Ecology 7, 201–214. https://doi.org/10.1016/j.baae.2005.07.011</w:t>
      </w:r>
    </w:p>
    <w:p w14:paraId="2E571658" w14:textId="77777777" w:rsidR="00B5130F" w:rsidRDefault="00B5130F" w:rsidP="00B5130F">
      <w:pPr>
        <w:pStyle w:val="Bibliography"/>
      </w:pPr>
      <w:r>
        <w:t>Klein, A.-M., Vaissière, B.E., Cane, J.H., Steffan-Dewenter, I., Cunningham, S.A., Kremen, C., Tscharntke, T., 2007. Importance of pollinators in changing landscapes for world crops. Proceedings of the Royal Society B: Biological Sciences 274, 303–313. https://doi.org/10.1098/rspb.2006.3721</w:t>
      </w:r>
    </w:p>
    <w:p w14:paraId="5E00FF90" w14:textId="77777777" w:rsidR="00B5130F" w:rsidRDefault="00B5130F" w:rsidP="00B5130F">
      <w:pPr>
        <w:pStyle w:val="Bibliography"/>
      </w:pPr>
      <w:r>
        <w:t>Landguth, E.L., Cushman, S.A., Schwartz, M.K., McKELVEY, K.S., Murphy, M., Luikart, G., 2010. Quantifying the lag time to detect barriers in landscape genetics: QUANTIFYING THE LAG TIME TO DETECT BARRIERS IN LANDSCAPE GENETICS. Molecular Ecology 19, 4179–4191. https://doi.org/10.1111/j.1365-294X.2010.04808.x</w:t>
      </w:r>
    </w:p>
    <w:p w14:paraId="67593018" w14:textId="77777777" w:rsidR="00B5130F" w:rsidRDefault="00B5130F" w:rsidP="00B5130F">
      <w:pPr>
        <w:pStyle w:val="Bibliography"/>
      </w:pPr>
      <w:r>
        <w:t>Landguth, E.L., Fedy, B.C., OYLER-McCANCE, S.J., Garey, A.L., Emel, S.L., Mumma, M., Wagner, H.H., Fortin, M.-J., Cushman, S.A., 2012. Effects of sample size, number of markers, and allelic richness on the detection of spatial genetic pattern. Molecular Ecology Resources 12, 276–284. https://doi.org/10.1111/j.1755-0998.2011.03077.x</w:t>
      </w:r>
    </w:p>
    <w:p w14:paraId="6397016D" w14:textId="77777777" w:rsidR="00B5130F" w:rsidRDefault="00B5130F" w:rsidP="00B5130F">
      <w:pPr>
        <w:pStyle w:val="Bibliography"/>
      </w:pPr>
      <w:r>
        <w:t>Legendre, P., Legendre, L., 2012. Numerical Ecology. Elsevier, Amsterdam, Netherlands.</w:t>
      </w:r>
    </w:p>
    <w:p w14:paraId="331EA457" w14:textId="77777777" w:rsidR="00B5130F" w:rsidRDefault="00B5130F" w:rsidP="00B5130F">
      <w:pPr>
        <w:pStyle w:val="Bibliography"/>
      </w:pPr>
      <w:r w:rsidRPr="00B5130F">
        <w:rPr>
          <w:lang w:val="de-LU"/>
        </w:rPr>
        <w:t xml:space="preserve">Leopold, J., Schöne, M., Cölln, K., 1996. Zur Kenntis der Schwebfliegen (Diptera, Syrphidae) der Stadt Köln und ihrer Randgebiete. </w:t>
      </w:r>
      <w:r>
        <w:t>Decheniana - Beihefte (Bonn) 35, 433–458.</w:t>
      </w:r>
    </w:p>
    <w:p w14:paraId="39936D1B" w14:textId="77777777" w:rsidR="00B5130F" w:rsidRDefault="00B5130F" w:rsidP="00B5130F">
      <w:pPr>
        <w:pStyle w:val="Bibliography"/>
      </w:pPr>
      <w:r>
        <w:lastRenderedPageBreak/>
        <w:t>Loiselle, B. a, Sork, V.L., Nason, J., Graham, C., 1995. Spatial Genetic Structure of a Tropical Understory Shrub. American Journal of Botany 82, 1420–1425.</w:t>
      </w:r>
    </w:p>
    <w:p w14:paraId="67CD73EE" w14:textId="77777777" w:rsidR="00B5130F" w:rsidRDefault="00B5130F" w:rsidP="00B5130F">
      <w:pPr>
        <w:pStyle w:val="Bibliography"/>
      </w:pPr>
      <w:r>
        <w:t>Lövei, G.L., Macleod, A., Hickman, J.M., 1998. Dispersal and effects of barriers on the movement of the New Zealand hover fly Melanostoma fasciatum (Dipt., Syrphidae) on cultivated land. Journal of Applied Entomology 122, 115–120. https://doi.org/10.1111/j.1439-0418.1998.tb01471.x</w:t>
      </w:r>
    </w:p>
    <w:p w14:paraId="4FE56A78" w14:textId="77777777" w:rsidR="00B5130F" w:rsidRDefault="00B5130F" w:rsidP="00B5130F">
      <w:pPr>
        <w:pStyle w:val="Bibliography"/>
      </w:pPr>
      <w:r>
        <w:t>Lozier, J.D., Strange, J.P., Stewart, I.J., Cameron, S.A., 2011. Patterns of range-wide genetic variation in six North American bumble bee (Apidae: Bombus) species. Molecular Ecology 20, 4870–4888. https://doi.org/10.1111/j.1365-294X.2011.05314.x</w:t>
      </w:r>
    </w:p>
    <w:p w14:paraId="2F3264D9" w14:textId="77777777" w:rsidR="00B5130F" w:rsidRDefault="00B5130F" w:rsidP="00B5130F">
      <w:pPr>
        <w:pStyle w:val="Bibliography"/>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3B5397D9" w14:textId="77777777" w:rsidR="00B5130F" w:rsidRDefault="00B5130F" w:rsidP="00B5130F">
      <w:pPr>
        <w:pStyle w:val="Bibliography"/>
      </w:pPr>
      <w:r>
        <w:t>Mantel, N., 1967. Cancer research. Mantel 27, 34.</w:t>
      </w:r>
    </w:p>
    <w:p w14:paraId="10F53075" w14:textId="77777777" w:rsidR="00B5130F" w:rsidRDefault="00B5130F" w:rsidP="00B5130F">
      <w:pPr>
        <w:pStyle w:val="Bibliography"/>
      </w:pPr>
      <w:r>
        <w:t>Menz, M.H.M., Reynolds, D.R., Gao, B., Hu, G., Chapman, J.W., Wotton, K.R., 2019. Mechanisms and Consequences of Partial Migration in Insects. Frontiers in Ecology and Evolution 7.</w:t>
      </w:r>
    </w:p>
    <w:p w14:paraId="2950BD11" w14:textId="77777777" w:rsidR="00B5130F" w:rsidRPr="00B5130F" w:rsidRDefault="00B5130F" w:rsidP="00B5130F">
      <w:pPr>
        <w:pStyle w:val="Bibliography"/>
        <w:rPr>
          <w:lang w:val="fr-FR"/>
        </w:rPr>
      </w:pPr>
      <w:r>
        <w:t xml:space="preserve">Miller, S.A., Dykes, D.D., Polesky, H.F., 1988. A simple salting out procedure for extracting DNA from human nucleated cells. </w:t>
      </w:r>
      <w:r w:rsidRPr="00B5130F">
        <w:rPr>
          <w:lang w:val="fr-FR"/>
        </w:rPr>
        <w:t>Nucleic Acids Res 16, 1215.</w:t>
      </w:r>
    </w:p>
    <w:p w14:paraId="1971F05F" w14:textId="77777777" w:rsidR="00B5130F" w:rsidRPr="00B5130F" w:rsidRDefault="00B5130F" w:rsidP="00B5130F">
      <w:pPr>
        <w:pStyle w:val="Bibliography"/>
        <w:rPr>
          <w:lang w:val="fr-FR"/>
        </w:rPr>
      </w:pPr>
      <w:r w:rsidRPr="00B5130F">
        <w:rPr>
          <w:lang w:val="fr-FR"/>
        </w:rPr>
        <w:t>Ministère de l’Environnement, du Climat et du Développement durable, 2022. Plan Pollinisateurs Luxembourg [WWW Document]. Plan Pollinisateurs. URL https://www.planpollinisateurs.lu (accessed 9.16.22).</w:t>
      </w:r>
    </w:p>
    <w:p w14:paraId="431F3305" w14:textId="77777777" w:rsidR="00B5130F" w:rsidRDefault="00B5130F" w:rsidP="00B5130F">
      <w:pPr>
        <w:pStyle w:val="Bibliography"/>
      </w:pPr>
      <w:r w:rsidRPr="00B5130F">
        <w:rPr>
          <w:lang w:val="fr-FR"/>
        </w:rPr>
        <w:t xml:space="preserve">Miranda, G.F.G., Young, A.D., Locke, M.M., Marshall, S.A., Skevington, J.H., Thompson, F.C., 2013. </w:t>
      </w:r>
      <w:r>
        <w:t>Key to the Genera of Nearctic Syrphidae. CJAI 23.</w:t>
      </w:r>
    </w:p>
    <w:p w14:paraId="1EF51DBC" w14:textId="77777777" w:rsidR="00B5130F" w:rsidRPr="00B5130F" w:rsidRDefault="00B5130F" w:rsidP="00B5130F">
      <w:pPr>
        <w:pStyle w:val="Bibliography"/>
        <w:rPr>
          <w:lang w:val="fr-FR"/>
        </w:rPr>
      </w:pPr>
      <w:r>
        <w:t xml:space="preserve">Mitter, H., Weber, G., 2011. Green Belt(s)—a Challenge for Urban Policy of Expanding Cities. </w:t>
      </w:r>
      <w:r w:rsidRPr="00B5130F">
        <w:rPr>
          <w:lang w:val="fr-FR"/>
        </w:rPr>
        <w:t>Regions Magazine 282, 18–20. https://doi.org/10.1080/13673882.2011.9697692</w:t>
      </w:r>
    </w:p>
    <w:p w14:paraId="3C8283BF" w14:textId="77777777" w:rsidR="00B5130F" w:rsidRDefault="00B5130F" w:rsidP="00B5130F">
      <w:pPr>
        <w:pStyle w:val="Bibliography"/>
      </w:pPr>
      <w:r w:rsidRPr="00B5130F">
        <w:rPr>
          <w:lang w:val="fr-FR"/>
        </w:rPr>
        <w:t xml:space="preserve">Moquet, L., Laurent, E., Bacchetta, R., Jacquemart, A.-L., 2018. </w:t>
      </w:r>
      <w:r>
        <w:t>Conservation of hoverflies (Diptera, Syrphidae) requires complementary resources at the landscape and local scales. Insect Conservation and Diversity 11, 72–87. https://doi.org/10.1111/icad.12245</w:t>
      </w:r>
    </w:p>
    <w:p w14:paraId="7605170B" w14:textId="77777777" w:rsidR="00B5130F" w:rsidRDefault="00B5130F" w:rsidP="00B5130F">
      <w:pPr>
        <w:pStyle w:val="Bibliography"/>
      </w:pPr>
      <w:r>
        <w:t>Öckinger, E., Schweiger, O., Crist, T.O., Debinski, D.M., Krauss, J., Kuussaari, M., Petersen, J.D., Pöyry, J., Settele, J., Summerville, K.S., Bommarco, R., 2010. Life-history traits predict species responses to habitat area and isolation: a cross-continental synthesis. Ecology Letters 13, 969–979. https://doi.org/10.1111/j.1461-0248.2010.01487.x</w:t>
      </w:r>
    </w:p>
    <w:p w14:paraId="3C51E6F9" w14:textId="77777777" w:rsidR="00B5130F" w:rsidRDefault="00B5130F" w:rsidP="00B5130F">
      <w:pPr>
        <w:pStyle w:val="Bibliography"/>
      </w:pPr>
      <w:r>
        <w:t>Ollerton, J., 2017. Pollinator Diversity: Distribution, Ecological Function, and Conservation. Annual Review of Ecology, Evolution, and Systematics 48, 353–376. https://doi.org/10.1146/annurev-ecolsys-110316-022919</w:t>
      </w:r>
    </w:p>
    <w:p w14:paraId="2D16C08A" w14:textId="77777777" w:rsidR="00B5130F" w:rsidRDefault="00B5130F" w:rsidP="00B5130F">
      <w:pPr>
        <w:pStyle w:val="Bibliography"/>
      </w:pPr>
      <w:r>
        <w:t>Ollerton, J., Winfree, R., Tarrant, S., 2011. How many flowering plants are pollinated by animals? Oikos 120, 321–326. https://doi.org/10.1111/j.1600-0706.2010.18644.x</w:t>
      </w:r>
    </w:p>
    <w:p w14:paraId="5CE53F0E" w14:textId="77777777" w:rsidR="00B5130F" w:rsidRDefault="00B5130F" w:rsidP="00B5130F">
      <w:pPr>
        <w:pStyle w:val="Bibliography"/>
      </w:pPr>
      <w:r>
        <w:t>Ouin, A., Menozzi, P., Coulon, M., Hamilton, A.J., Sarthou, J.P., Tsafack, N., Vialatte, A., Ponsard, S., 2011. Can deuterium stable isotope values be used to assign the geographic origin of an auxiliary hoverfly in south-western France? Rapid Communications in Mass Spectrometry 25, 2793–2798. https://doi.org/10.1002/rcm.5127</w:t>
      </w:r>
    </w:p>
    <w:p w14:paraId="61B0DC84" w14:textId="77777777" w:rsidR="00B5130F" w:rsidRDefault="00B5130F" w:rsidP="00B5130F">
      <w:pPr>
        <w:pStyle w:val="Bibliography"/>
      </w:pPr>
      <w:r>
        <w:t>Ouin, A., Sarthou, J.-P., Bouyjou, B., Deconchat, M., Lacombe, J.-P., Monteil, C., 2006. The species-area relationship in the hoverfly (Diptera, Syrphidae) communities of forest fragments in southern France. Ecography 29, 183–190. https://doi.org/10.1111/j.2006.0906-7590.04135.x</w:t>
      </w:r>
    </w:p>
    <w:p w14:paraId="5908AB63" w14:textId="77777777" w:rsidR="00B5130F" w:rsidRDefault="00B5130F" w:rsidP="00B5130F">
      <w:pPr>
        <w:pStyle w:val="Bibliography"/>
      </w:pPr>
      <w:r>
        <w:lastRenderedPageBreak/>
        <w:t>Oyler-McCance, S.J., Fedy, B.C., Landguth, E.L., 2013. Sample design effects in landscape genetics. Conserv Genet 14, 275–285. https://doi.org/10.1007/s10592-012-0415-1</w:t>
      </w:r>
    </w:p>
    <w:p w14:paraId="3CA3E356" w14:textId="77777777" w:rsidR="00B5130F" w:rsidRDefault="00B5130F" w:rsidP="00B5130F">
      <w:pPr>
        <w:pStyle w:val="Bibliography"/>
      </w:pPr>
      <w:r>
        <w:t>Paradis, E., 2010. pegas : an R package for population genetics with an integrated – modular approach 26, 419–420. https://doi.org/10.1093/bioinformatics/btp696</w:t>
      </w:r>
    </w:p>
    <w:p w14:paraId="76552312" w14:textId="77777777" w:rsidR="00B5130F" w:rsidRDefault="00B5130F" w:rsidP="00B5130F">
      <w:pPr>
        <w:pStyle w:val="Bibliography"/>
      </w:pPr>
      <w:r w:rsidRPr="00B5130F">
        <w:rPr>
          <w:lang w:val="de-LU"/>
        </w:rPr>
        <w:t xml:space="preserve">Pekas, A., De Craecker, I., Boonen, S., Wäckers, F.L., Moerkens, R., 2020. </w:t>
      </w:r>
      <w:r>
        <w:t>One stone; two birds: concurrent pest control and pollination services provided by aphidophagous hoverflies. Biological Control 149, 104328. https://doi.org/10.1016/j.biocontrol.2020.104328</w:t>
      </w:r>
    </w:p>
    <w:p w14:paraId="3B2F58A9" w14:textId="77777777" w:rsidR="00B5130F" w:rsidRPr="00B5130F" w:rsidRDefault="00B5130F" w:rsidP="00B5130F">
      <w:pPr>
        <w:pStyle w:val="Bibliography"/>
        <w:rPr>
          <w:lang w:val="de-LU"/>
        </w:rPr>
      </w:pPr>
      <w:r>
        <w:t xml:space="preserve">Potts, S., K., B., Bommarco, R., Breeze, T., Carvalheiro, L., Franzén, M., González-Varo, J.P., A., H., Kleijn, D., Klein, A., Kunin, Lecocq, T., Lundin, O., Michez, D., Neumann, P., A., N., Penev, L., Rasmont, P., Ratamäki, O., Schweiger, O., 2015. Status and trends of European pollinators. Key findings of the STEP project. </w:t>
      </w:r>
      <w:r w:rsidRPr="00B5130F">
        <w:rPr>
          <w:lang w:val="de-LU"/>
        </w:rPr>
        <w:t>Pensoft Publishers, Sofia, Bulgaria.</w:t>
      </w:r>
    </w:p>
    <w:p w14:paraId="22690D42" w14:textId="77777777" w:rsidR="00B5130F" w:rsidRDefault="00B5130F" w:rsidP="00B5130F">
      <w:pPr>
        <w:pStyle w:val="Bibliography"/>
      </w:pPr>
      <w:r w:rsidRPr="00B5130F">
        <w:rPr>
          <w:lang w:val="de-LU"/>
        </w:rPr>
        <w:t xml:space="preserve">Potts, S.G., Biesmeijer, J.C., Kremen, C., Neumann, P., Schweiger, O., Kunin, W.E., 2010. </w:t>
      </w:r>
      <w:r>
        <w:t>Global pollinator declines: trends, impacts and drivers. Trends in Ecology &amp; Evolution 25, 345–353. https://doi.org/10.1016/j.tree.2010.01.007</w:t>
      </w:r>
    </w:p>
    <w:p w14:paraId="332E69DB" w14:textId="77777777" w:rsidR="00B5130F" w:rsidRDefault="00B5130F" w:rsidP="00B5130F">
      <w:pPr>
        <w:pStyle w:val="Bibliography"/>
      </w:pPr>
      <w:r>
        <w:t>Pritchard, J.K., Stephens, M., Donnelly, P., 2000. Inference of Population Structure Using Multilocus Genotype Data.</w:t>
      </w:r>
    </w:p>
    <w:p w14:paraId="169FB7F9" w14:textId="77777777" w:rsidR="00B5130F" w:rsidRDefault="00B5130F" w:rsidP="00B5130F">
      <w:pPr>
        <w:pStyle w:val="Bibliography"/>
      </w:pPr>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 Non-bee insects are important contributors to global crop pollination. Proceedings of the National Academy of Sciences 113, 146–151. https://doi.org/10.1073/pnas.1517092112</w:t>
      </w:r>
    </w:p>
    <w:p w14:paraId="086194E4" w14:textId="77777777" w:rsidR="00B5130F" w:rsidRPr="00B5130F" w:rsidRDefault="00B5130F" w:rsidP="00B5130F">
      <w:pPr>
        <w:pStyle w:val="Bibliography"/>
        <w:rPr>
          <w:lang w:val="de-LU"/>
        </w:rPr>
      </w:pPr>
      <w:r>
        <w:t xml:space="preserve">Rands, S.A., 2014. Landscape fragmentation and pollinator movement within agricultural environments: a modelling framework for exploring foraging and movement ecology. </w:t>
      </w:r>
      <w:r w:rsidRPr="00B5130F">
        <w:rPr>
          <w:lang w:val="de-LU"/>
        </w:rPr>
        <w:t>PeerJ 2, e269. https://doi.org/10.7717/peerj.269</w:t>
      </w:r>
    </w:p>
    <w:p w14:paraId="2299A29B" w14:textId="77777777" w:rsidR="00B5130F" w:rsidRDefault="00B5130F" w:rsidP="00B5130F">
      <w:pPr>
        <w:pStyle w:val="Bibliography"/>
      </w:pPr>
      <w:r w:rsidRPr="00B5130F">
        <w:rPr>
          <w:lang w:val="de-LU"/>
        </w:rPr>
        <w:t xml:space="preserve">Raymond, L., Plantegenest, M., Vialatte, A., 2013. </w:t>
      </w:r>
      <w:r>
        <w:t>Migration and dispersal may drive to high genetic variation and significant genetic mixing: the case of two agriculturally important, continental hoverflies (Episyrphus balteatus and Sphaerophoria scripta). Molecular Ecology 22, 5329–5339. https://doi.org/10.1111/mec.12483</w:t>
      </w:r>
    </w:p>
    <w:p w14:paraId="7AFFDB7D" w14:textId="77777777" w:rsidR="00B5130F" w:rsidRDefault="00B5130F" w:rsidP="00B5130F">
      <w:pPr>
        <w:pStyle w:val="Bibliography"/>
      </w:pPr>
      <w:r>
        <w:t>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 Crop production in the USA is frequently limited by a lack of pollinators. Proceedings of the Royal Society B: Biological Sciences 287, 20200922. https://doi.org/10.1098/rspb.2020.0922</w:t>
      </w:r>
    </w:p>
    <w:p w14:paraId="449439AE" w14:textId="77777777" w:rsidR="00B5130F" w:rsidRDefault="00B5130F" w:rsidP="00B5130F">
      <w:pPr>
        <w:pStyle w:val="Bibliography"/>
      </w:pPr>
      <w:r>
        <w:t>Roser, L.G., Ferreyra, L.I., Saidman, B.O., Vilardi, J.C., 2017. EcoGenetics: An R package for the management and exploratory analysis of spatial data in landscape genetics. Molecular Ecology Resources 17, e241–e250. https://doi.org/10.1111/1755-0998.12697</w:t>
      </w:r>
    </w:p>
    <w:p w14:paraId="05759803" w14:textId="77777777" w:rsidR="00B5130F" w:rsidRDefault="00B5130F" w:rsidP="00B5130F">
      <w:pPr>
        <w:pStyle w:val="Bibliography"/>
      </w:pPr>
      <w:r>
        <w:lastRenderedPageBreak/>
        <w:t>Rotheray, E.L., Bussière, L.F., Moore, P., Bergstrom, L., Goulson, D., 2014. Mark recapture estimates of dispersal ability and observations on the territorial behaviour of the rare hoverfly, Hammerschmidtia ferruginea (Diptera, Syrphidae). J Insect Conserv 18, 179–188. https://doi.org/10.1007/s10841-014-9627-7</w:t>
      </w:r>
    </w:p>
    <w:p w14:paraId="0B556FBA" w14:textId="77777777" w:rsidR="00B5130F" w:rsidRDefault="00B5130F" w:rsidP="00B5130F">
      <w:pPr>
        <w:pStyle w:val="Bibliography"/>
      </w:pPr>
      <w:r>
        <w:t>Rotheray, G.E., 1993. Colour Guide to Hoverfly Larvae (Diptera: Syrphidae). Dipterists Digest 9.</w:t>
      </w:r>
    </w:p>
    <w:p w14:paraId="67ABF4BB" w14:textId="77777777" w:rsidR="00B5130F" w:rsidRDefault="00B5130F" w:rsidP="00B5130F">
      <w:pPr>
        <w:pStyle w:val="Bibliography"/>
      </w:pPr>
      <w:r>
        <w:t>Sánchez-Bayo, F., Wyckhuys, K.A.G., 2021. Further evidence for a global decline of the entomofauna. Austral Entomology 60, 9–26. https://doi.org/10.1111/aen.12509</w:t>
      </w:r>
    </w:p>
    <w:p w14:paraId="4AD892AF" w14:textId="77777777" w:rsidR="00B5130F" w:rsidRDefault="00B5130F" w:rsidP="00B5130F">
      <w:pPr>
        <w:pStyle w:val="Bibliography"/>
      </w:pPr>
      <w:r>
        <w:t>Sánchez-Bayo, F., Wyckhuys, K.A.G., 2019. Worldwide decline of the entomofauna: A review of its drivers. Biological Conservation 232, 8–27. https://doi.org/10.1016/j.biocon.2019.01.020</w:t>
      </w:r>
    </w:p>
    <w:p w14:paraId="71801ADD" w14:textId="77777777" w:rsidR="00B5130F" w:rsidRDefault="00B5130F" w:rsidP="00B5130F">
      <w:pPr>
        <w:pStyle w:val="Bibliography"/>
      </w:pPr>
      <w:r>
        <w:t>Schauer, B., Bong, J., Popp, C., Obermaier, E., Feldhaar, H., 2018. Dispersal limitation of saproxylic insects in a managed forest? A population genetics approach. Basic and Applied Ecology 32, 26–38. https://doi.org/10.1016/j.baae.2018.01.005</w:t>
      </w:r>
    </w:p>
    <w:p w14:paraId="5A938193" w14:textId="77777777" w:rsidR="00B5130F" w:rsidRDefault="00B5130F" w:rsidP="00B5130F">
      <w:pPr>
        <w:pStyle w:val="Bibliography"/>
      </w:pPr>
      <w:r>
        <w:t>Schwartz, M.K., McKelvey, K.S., 2009. Why sampling scheme matters: the effect of sampling scheme on landscape genetic results. Conserv Genet 10, 441–452. https://doi.org/10.1007/s10592-008-9622-1</w:t>
      </w:r>
    </w:p>
    <w:p w14:paraId="67DED6D1" w14:textId="77777777" w:rsidR="00B5130F" w:rsidRDefault="00B5130F" w:rsidP="00B5130F">
      <w:pPr>
        <w:pStyle w:val="Bibliography"/>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6AE3F7C6" w14:textId="77777777" w:rsidR="00B5130F" w:rsidRDefault="00B5130F" w:rsidP="00B5130F">
      <w:pPr>
        <w:pStyle w:val="Bibliography"/>
      </w:pPr>
      <w:r>
        <w:t>Senapathi, D., Carvalheiro, L.G., Biesmeijer, J.C., Dodson, C.-A., Evans, R.L., McKerchar, M., Morton, R.D., Moss, E.D., Roberts, S.P.M., Kunin, W.E., Potts, S.G., 2015. The impact of over 80 years of land cover changes on bee and wasp pollinator communities in England. Proceedings of the Royal Society B: Biological Sciences 282, 20150294. https://doi.org/10.1098/rspb.2015.0294</w:t>
      </w:r>
    </w:p>
    <w:p w14:paraId="46A55DB1" w14:textId="77777777" w:rsidR="00B5130F" w:rsidRDefault="00B5130F" w:rsidP="00B5130F">
      <w:pPr>
        <w:pStyle w:val="Bibliography"/>
      </w:pPr>
      <w:r>
        <w:t>Simmons, B.I., Balmford, A., Bladon, A.J., Christie, A.P., De Palma, A., Dicks, L.V., Gallego-Zamorano, J., Johnston, A., Martin, P.A., Purvis, A., Rocha, R., Wauchope, H.S., Wordley, C.F.R., Worthington, T.A., Finch, T., 2019. Worldwide insect declines: An important message, but interpret with caution. Ecology and Evolution 9, 3678–3680. https://doi.org/10.1002/ece3.5153</w:t>
      </w:r>
    </w:p>
    <w:p w14:paraId="51082565" w14:textId="77777777" w:rsidR="00B5130F" w:rsidRDefault="00B5130F" w:rsidP="00B5130F">
      <w:pPr>
        <w:pStyle w:val="Bibliography"/>
      </w:pPr>
      <w:r>
        <w:t>Speight, M.C.D., 2017. Species account of European Syrphidae, Syrph the Net, the database of European Syrphidae (Diptera). Syrph the Net publications, Dublin, Ireland.</w:t>
      </w:r>
    </w:p>
    <w:p w14:paraId="408F6237" w14:textId="77777777" w:rsidR="00B5130F" w:rsidRPr="00B5130F" w:rsidRDefault="00B5130F" w:rsidP="00B5130F">
      <w:pPr>
        <w:pStyle w:val="Bibliography"/>
        <w:rPr>
          <w:lang w:val="de-LU"/>
        </w:rPr>
      </w:pPr>
      <w:r>
        <w:t xml:space="preserve">Ssymank, A., Kearns, C.A., Pape, T., Thompson, F.C., 2008. Pollinating Flies (Diptera): A major contribution to plant diversity and agricultural production. </w:t>
      </w:r>
      <w:r w:rsidRPr="00B5130F">
        <w:rPr>
          <w:lang w:val="de-LU"/>
        </w:rPr>
        <w:t>Biodiversity 9, 86–89. https://doi.org/10.1080/14888386.2008.9712892</w:t>
      </w:r>
    </w:p>
    <w:p w14:paraId="57B7BF9B" w14:textId="77777777" w:rsidR="00B5130F" w:rsidRPr="00B5130F" w:rsidRDefault="00B5130F" w:rsidP="00B5130F">
      <w:pPr>
        <w:pStyle w:val="Bibliography"/>
        <w:rPr>
          <w:lang w:val="de-LU"/>
        </w:rPr>
      </w:pPr>
      <w:r w:rsidRPr="00B5130F">
        <w:rPr>
          <w:lang w:val="de-LU"/>
        </w:rPr>
        <w:t>Stadt Köln, 2022. Insektenschutz [WWW Document]. URL https://www.stadt-koeln.de/leben-in-koeln/klima-umwelt-tiere/insektenschutz (accessed 9.16.22).</w:t>
      </w:r>
    </w:p>
    <w:p w14:paraId="3F3E7F2A" w14:textId="77777777" w:rsidR="00B5130F" w:rsidRDefault="00B5130F" w:rsidP="00B5130F">
      <w:pPr>
        <w:pStyle w:val="Bibliography"/>
      </w:pPr>
      <w:r w:rsidRPr="00B5130F">
        <w:rPr>
          <w:lang w:val="de-LU"/>
        </w:rPr>
        <w:t xml:space="preserve">Steffan-Dewenter, I., Münzenberg, U., Bürger, C., Thies, C., Tscharntke, T., 2002. </w:t>
      </w:r>
      <w:r>
        <w:t>Scale-Dependent Effects of Landscape Context on Three Pollinator Guilds. Ecology 83, 1421–1432. https://doi.org/10.1890/0012-9658(2002)083[1421:SDEOLC]2.0.CO;2</w:t>
      </w:r>
    </w:p>
    <w:p w14:paraId="5BA150A3" w14:textId="77777777" w:rsidR="00B5130F" w:rsidRDefault="00B5130F" w:rsidP="00B5130F">
      <w:pPr>
        <w:pStyle w:val="Bibliography"/>
      </w:pPr>
      <w:r>
        <w:t>Svenningsen, C., Bowler, D.E., Hecker, S., Bladt, J., Grescho, V., van Dam, N.M., Dauber, J., Eichenberg, D., Ejrnæs, R., Fløjgaard, C., Frenzel, M., Guldberg Frøslev, T., Hansen, A.J., Heilmann-Clausen, J., Huang, Y., Colling Larsen, J., Menger, J., Liyana Binti Mat Nayan, N., Pedersen, L.B., Richter, A., Dunn, R.R., Tøttrup, A.P., Bonn, A., 2020. Contrasting impacts of urban and farmland cover on flying insect biomass.</w:t>
      </w:r>
    </w:p>
    <w:p w14:paraId="569F6A02" w14:textId="77777777" w:rsidR="00B5130F" w:rsidRDefault="00B5130F" w:rsidP="00B5130F">
      <w:pPr>
        <w:pStyle w:val="Bibliography"/>
      </w:pPr>
      <w:r>
        <w:t xml:space="preserve">Svenningsen, C.S., Frøslev, T.G., Bladt, J., Pedersen, L.B., Larsen, J.C., Ejrnæs, R., Fløjgaard, C., Hansen, A.J., Heilmann-Clausen, J., Dunn, R.R., Tøttrup, A.P., 2021. </w:t>
      </w:r>
      <w:r>
        <w:lastRenderedPageBreak/>
        <w:t>Detecting flying insects using car nets and DNA metabarcoding. Biology Letters 17, 20200833. https://doi.org/10.1098/rsbl.2020.0833</w:t>
      </w:r>
    </w:p>
    <w:p w14:paraId="3CB2C50A" w14:textId="77777777" w:rsidR="00B5130F" w:rsidRDefault="00B5130F" w:rsidP="00B5130F">
      <w:pPr>
        <w:pStyle w:val="Bibliography"/>
      </w:pPr>
      <w:r w:rsidRPr="00B5130F">
        <w:rPr>
          <w:lang w:val="de-LU"/>
        </w:rPr>
        <w:t xml:space="preserve">Taylor, P.D., Fahrig, L., Henein, K., Merriam, G., 1993. </w:t>
      </w:r>
      <w:r>
        <w:t>Connectivity Is a Vital Element of Landscape Structure. Oikos 68, 571. https://doi.org/10.2307/3544927</w:t>
      </w:r>
    </w:p>
    <w:p w14:paraId="313DE334" w14:textId="77777777" w:rsidR="00B5130F" w:rsidRDefault="00B5130F" w:rsidP="00B5130F">
      <w:pPr>
        <w:pStyle w:val="Bibliography"/>
      </w:pPr>
      <w:r>
        <w:t>Theodorou, P., Radzevičiūtė, R., Lentendu, G., Kahnt, B., Husemann, M., Bleidorn, C., Settele, J., Schweiger, O., Grosse, I., Wubet, T., Murray, T.E., Paxton, R.J., 2020. Urban areas as hotspots for bees and pollination but not a panacea for all insects. Nat Commun 11, 576. https://doi.org/10.1038/s41467-020-14496-6</w:t>
      </w:r>
    </w:p>
    <w:p w14:paraId="2E42222D" w14:textId="77777777" w:rsidR="00B5130F" w:rsidRDefault="00B5130F" w:rsidP="00B5130F">
      <w:pPr>
        <w:pStyle w:val="Bibliography"/>
      </w:pPr>
      <w:r>
        <w:t>Thompson, F.C., 2008. A conspectus of New Zealand flower flies (Diptera: Syrphidae) with the description of a new genus and species. Zootaxa 1716, 1. https://doi.org/10.11646/zootaxa.1716.1.1</w:t>
      </w:r>
    </w:p>
    <w:p w14:paraId="3A25DB7C" w14:textId="77777777" w:rsidR="00B5130F" w:rsidRDefault="00B5130F" w:rsidP="00B5130F">
      <w:pPr>
        <w:pStyle w:val="Bibliography"/>
      </w:pPr>
      <w:r>
        <w:t>Vanbergen, A.J., 1, 2, 3, 4, 2013. Threats to an ecosystem service: pressures on pollinators. Frontiers in Ecology and the Environment 11, 251–259. https://doi.org/10.1890/120126</w:t>
      </w:r>
    </w:p>
    <w:p w14:paraId="5961F44B" w14:textId="77777777" w:rsidR="00B5130F" w:rsidRDefault="00B5130F" w:rsidP="00B5130F">
      <w:pPr>
        <w:pStyle w:val="Bibliography"/>
      </w:pPr>
      <w:r>
        <w:t>Vekemans, X., Hardy, O.J., 2004. New insights from fine-scale spatial genetic structure analyses in plant populations. Molecular Ecology 13, 921–935. https://doi.org/10.1046/j.1365-294X.2004.02076.x</w:t>
      </w:r>
    </w:p>
    <w:p w14:paraId="1DE5CFB1" w14:textId="77777777" w:rsidR="00B5130F" w:rsidRDefault="00B5130F" w:rsidP="00B5130F">
      <w:pPr>
        <w:pStyle w:val="Bibliography"/>
      </w:pPr>
      <w:r>
        <w:t>Wang, J., 2017. The computer program structure for assigning individuals to populations: easy to use but easier to misuse. Molecular Ecology Resources 17, 981–990.</w:t>
      </w:r>
    </w:p>
    <w:p w14:paraId="145D891A" w14:textId="77777777" w:rsidR="00B5130F" w:rsidRDefault="00B5130F" w:rsidP="00B5130F">
      <w:pPr>
        <w:pStyle w:val="Bibliography"/>
      </w:pPr>
      <w:r>
        <w:t>Wardhaugh, C.W., 2015. How many species of arthropods visit flowers? Arthropod-Plant Interactions 9, 547–565. https://doi.org/10.1007/s11829-015-9398-4</w:t>
      </w:r>
    </w:p>
    <w:p w14:paraId="63616F14" w14:textId="77777777" w:rsidR="00B5130F" w:rsidRDefault="00B5130F" w:rsidP="00B5130F">
      <w:pPr>
        <w:pStyle w:val="Bibliography"/>
      </w:pPr>
      <w:r>
        <w:t>Wellington, W.G., Fitzpatrick, S.M., 1981. Territoriality in the drone fly, Eristalis tenax (Diptera: Syrphidae). The Canadian Entomologist 113, 695–704. https://doi.org/10.4039/Ent113695-8</w:t>
      </w:r>
    </w:p>
    <w:p w14:paraId="2BEF3ACB" w14:textId="77777777" w:rsidR="00B5130F" w:rsidRDefault="00B5130F" w:rsidP="00B5130F">
      <w:pPr>
        <w:pStyle w:val="Bibliography"/>
      </w:pPr>
      <w:r>
        <w:t>Winfree, R., Bartomeus, I., Cariveau, D.P., 2011. Native Pollinators in Anthropogenic Habitats. Annual Review of Ecology, Evolution, and Systematics 42, 1–22. https://doi.org/10.1146/annurev-ecolsys-102710-145042</w:t>
      </w:r>
    </w:p>
    <w:p w14:paraId="13AF4023" w14:textId="77777777" w:rsidR="00B5130F" w:rsidRDefault="00B5130F" w:rsidP="00B5130F">
      <w:pPr>
        <w:pStyle w:val="Bibliography"/>
      </w:pPr>
      <w:r>
        <w:t>Wotton, K.R., Gao, B., Menz, M.H.M., Morris, R.K.A., Ball, S.G., Lim, K.S., Reynolds, D.R., Hu, G., Chapman, J.W., 2019. Mass Seasonal Migrations of Hoverflies Provide Extensive Pollination and Crop Protection Services. Current Biology 29, 2167-2173.e5. https://doi.org/10.1016/j.cub.2019.05.036</w:t>
      </w:r>
    </w:p>
    <w:p w14:paraId="453C2FA5" w14:textId="77777777" w:rsidR="00B5130F" w:rsidRDefault="00B5130F" w:rsidP="00B5130F">
      <w:pPr>
        <w:pStyle w:val="Bibliography"/>
      </w:pPr>
      <w:r>
        <w:t>Wratten, S.D., Bowie, M.H., Hickman, J.M., Evans, A.M., Sedcole, J.R., Tylianakis, J.M., 2003. Field boundaries as barriers to movement of hover flies (Diptera: Syrphidae) in cultivated land. Oecologia 134, 605–611. https://doi.org/10.1007/s00442-002-1128-9</w:t>
      </w:r>
    </w:p>
    <w:p w14:paraId="0F11268B" w14:textId="5A84E235"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w:t>
      </w:r>
      <w:proofErr w:type="spellStart"/>
      <w:r w:rsidR="005C3158" w:rsidRPr="005C3158">
        <w:rPr>
          <w:rFonts w:eastAsia="Times New Roman" w:cs="Times New Roman"/>
          <w:bCs/>
          <w:color w:val="000000"/>
          <w:szCs w:val="20"/>
          <w:lang w:val="en-GB" w:eastAsia="de-DE"/>
        </w:rPr>
        <w:t>Pcr</w:t>
      </w:r>
      <w:proofErr w:type="spellEnd"/>
      <w:r w:rsidR="005C3158" w:rsidRPr="005C3158">
        <w:rPr>
          <w:rFonts w:eastAsia="Times New Roman" w:cs="Times New Roman"/>
          <w:bCs/>
          <w:color w:val="000000"/>
          <w:szCs w:val="20"/>
          <w:lang w:val="en-GB" w:eastAsia="de-DE"/>
        </w:rPr>
        <w:t xml:space="preserve"> Products of </w:t>
      </w:r>
      <w:r w:rsidR="005C3158" w:rsidRPr="0094407B">
        <w:rPr>
          <w:rFonts w:eastAsia="Times New Roman" w:cs="Times New Roman"/>
          <w:bCs/>
          <w:i/>
          <w:color w:val="000000"/>
          <w:szCs w:val="20"/>
          <w:lang w:val="en-GB" w:eastAsia="de-DE"/>
        </w:rPr>
        <w:t>Syritta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 xml:space="preserve">). Allele sizes were determined using GENEMAPPER version 4.0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w:t>
      </w:r>
      <w:proofErr w:type="spellStart"/>
      <w:r w:rsidR="004966DF">
        <w:rPr>
          <w:rFonts w:eastAsia="Times New Roman" w:cs="Times New Roman"/>
          <w:bCs/>
          <w:color w:val="000000"/>
          <w:szCs w:val="20"/>
          <w:lang w:val="en-GB" w:eastAsia="de-DE"/>
        </w:rPr>
        <w:t>Benjamini</w:t>
      </w:r>
      <w:proofErr w:type="spellEnd"/>
      <w:r w:rsidR="004966DF">
        <w:rPr>
          <w:rFonts w:eastAsia="Times New Roman" w:cs="Times New Roman"/>
          <w:bCs/>
          <w:color w:val="000000"/>
          <w:szCs w:val="20"/>
          <w:lang w:val="en-GB" w:eastAsia="de-DE"/>
        </w:rPr>
        <w:t>-Hochberg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69E102A6"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w:t>
      </w:r>
      <w:proofErr w:type="spellStart"/>
      <w:r w:rsidR="00C06887">
        <w:rPr>
          <w:rFonts w:eastAsia="Times New Roman" w:cs="Times New Roman"/>
          <w:bCs/>
          <w:color w:val="000000"/>
          <w:szCs w:val="20"/>
          <w:lang w:val="en-GB" w:eastAsia="de-DE"/>
        </w:rPr>
        <w:t>Benjamini</w:t>
      </w:r>
      <w:proofErr w:type="spellEnd"/>
      <w:r w:rsidR="00C06887">
        <w:rPr>
          <w:rFonts w:eastAsia="Times New Roman" w:cs="Times New Roman"/>
          <w:bCs/>
          <w:color w:val="000000"/>
          <w:szCs w:val="20"/>
          <w:lang w:val="en-GB" w:eastAsia="de-DE"/>
        </w:rPr>
        <w:t>-Hochberg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74BEFDAC"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615CB576"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160945B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940" w:type="dxa"/>
            <w:tcBorders>
              <w:top w:val="nil"/>
              <w:left w:val="nil"/>
              <w:bottom w:val="nil"/>
              <w:right w:val="nil"/>
            </w:tcBorders>
            <w:shd w:val="clear" w:color="auto" w:fill="auto"/>
            <w:noWrap/>
            <w:vAlign w:val="bottom"/>
            <w:hideMark/>
          </w:tcPr>
          <w:p w14:paraId="56164DF0" w14:textId="71F1F71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940" w:type="dxa"/>
            <w:tcBorders>
              <w:top w:val="nil"/>
              <w:left w:val="nil"/>
              <w:bottom w:val="nil"/>
              <w:right w:val="nil"/>
            </w:tcBorders>
            <w:shd w:val="clear" w:color="auto" w:fill="auto"/>
            <w:noWrap/>
            <w:vAlign w:val="bottom"/>
            <w:hideMark/>
          </w:tcPr>
          <w:p w14:paraId="30B8CDA0" w14:textId="2A45454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60" w:type="dxa"/>
            <w:tcBorders>
              <w:top w:val="nil"/>
              <w:left w:val="nil"/>
              <w:bottom w:val="nil"/>
              <w:right w:val="nil"/>
            </w:tcBorders>
            <w:shd w:val="clear" w:color="auto" w:fill="auto"/>
            <w:noWrap/>
            <w:vAlign w:val="bottom"/>
            <w:hideMark/>
          </w:tcPr>
          <w:p w14:paraId="3CB53A02" w14:textId="15462A0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60" w:type="dxa"/>
            <w:tcBorders>
              <w:top w:val="nil"/>
              <w:left w:val="nil"/>
              <w:bottom w:val="nil"/>
              <w:right w:val="nil"/>
            </w:tcBorders>
            <w:shd w:val="clear" w:color="auto" w:fill="auto"/>
            <w:noWrap/>
            <w:vAlign w:val="bottom"/>
            <w:hideMark/>
          </w:tcPr>
          <w:p w14:paraId="0F7F3220" w14:textId="7E839B3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940" w:type="dxa"/>
            <w:tcBorders>
              <w:top w:val="nil"/>
              <w:left w:val="nil"/>
              <w:bottom w:val="nil"/>
              <w:right w:val="nil"/>
            </w:tcBorders>
            <w:shd w:val="clear" w:color="auto" w:fill="auto"/>
            <w:noWrap/>
            <w:vAlign w:val="bottom"/>
            <w:hideMark/>
          </w:tcPr>
          <w:p w14:paraId="1DB2AF79" w14:textId="157EFA2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940" w:type="dxa"/>
            <w:tcBorders>
              <w:top w:val="nil"/>
              <w:left w:val="nil"/>
              <w:bottom w:val="nil"/>
              <w:right w:val="nil"/>
            </w:tcBorders>
            <w:shd w:val="clear" w:color="auto" w:fill="auto"/>
            <w:noWrap/>
            <w:vAlign w:val="bottom"/>
            <w:hideMark/>
          </w:tcPr>
          <w:p w14:paraId="6B02711F" w14:textId="56D0F43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940" w:type="dxa"/>
            <w:tcBorders>
              <w:top w:val="nil"/>
              <w:left w:val="nil"/>
              <w:bottom w:val="nil"/>
              <w:right w:val="nil"/>
            </w:tcBorders>
            <w:shd w:val="clear" w:color="auto" w:fill="auto"/>
            <w:noWrap/>
            <w:vAlign w:val="bottom"/>
            <w:hideMark/>
          </w:tcPr>
          <w:p w14:paraId="57BAACFE" w14:textId="1CC6E86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5AF39B7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940" w:type="dxa"/>
            <w:tcBorders>
              <w:top w:val="nil"/>
              <w:left w:val="nil"/>
              <w:bottom w:val="nil"/>
              <w:right w:val="nil"/>
            </w:tcBorders>
            <w:shd w:val="clear" w:color="auto" w:fill="auto"/>
            <w:noWrap/>
            <w:vAlign w:val="bottom"/>
            <w:hideMark/>
          </w:tcPr>
          <w:p w14:paraId="468032B3" w14:textId="7E07CDB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940" w:type="dxa"/>
            <w:tcBorders>
              <w:top w:val="nil"/>
              <w:left w:val="nil"/>
              <w:bottom w:val="nil"/>
              <w:right w:val="nil"/>
            </w:tcBorders>
            <w:shd w:val="clear" w:color="auto" w:fill="auto"/>
            <w:noWrap/>
            <w:vAlign w:val="bottom"/>
            <w:hideMark/>
          </w:tcPr>
          <w:p w14:paraId="3F25D512" w14:textId="15E36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60" w:type="dxa"/>
            <w:tcBorders>
              <w:top w:val="nil"/>
              <w:left w:val="nil"/>
              <w:bottom w:val="nil"/>
              <w:right w:val="nil"/>
            </w:tcBorders>
            <w:shd w:val="clear" w:color="auto" w:fill="auto"/>
            <w:noWrap/>
            <w:vAlign w:val="bottom"/>
            <w:hideMark/>
          </w:tcPr>
          <w:p w14:paraId="296BD76D" w14:textId="75EBD2E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60" w:type="dxa"/>
            <w:tcBorders>
              <w:top w:val="nil"/>
              <w:left w:val="nil"/>
              <w:bottom w:val="nil"/>
              <w:right w:val="nil"/>
            </w:tcBorders>
            <w:shd w:val="clear" w:color="auto" w:fill="auto"/>
            <w:noWrap/>
            <w:vAlign w:val="bottom"/>
            <w:hideMark/>
          </w:tcPr>
          <w:p w14:paraId="293439CE" w14:textId="101FF38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940" w:type="dxa"/>
            <w:tcBorders>
              <w:top w:val="nil"/>
              <w:left w:val="nil"/>
              <w:bottom w:val="nil"/>
              <w:right w:val="nil"/>
            </w:tcBorders>
            <w:shd w:val="clear" w:color="auto" w:fill="auto"/>
            <w:noWrap/>
            <w:vAlign w:val="bottom"/>
            <w:hideMark/>
          </w:tcPr>
          <w:p w14:paraId="539A5912" w14:textId="546F4A3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940" w:type="dxa"/>
            <w:tcBorders>
              <w:top w:val="nil"/>
              <w:left w:val="nil"/>
              <w:bottom w:val="nil"/>
              <w:right w:val="nil"/>
            </w:tcBorders>
            <w:shd w:val="clear" w:color="auto" w:fill="auto"/>
            <w:noWrap/>
            <w:vAlign w:val="bottom"/>
            <w:hideMark/>
          </w:tcPr>
          <w:p w14:paraId="6357DB15" w14:textId="44CBB3B1"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940" w:type="dxa"/>
            <w:tcBorders>
              <w:top w:val="nil"/>
              <w:left w:val="nil"/>
              <w:bottom w:val="nil"/>
              <w:right w:val="nil"/>
            </w:tcBorders>
            <w:shd w:val="clear" w:color="auto" w:fill="auto"/>
            <w:noWrap/>
            <w:vAlign w:val="bottom"/>
            <w:hideMark/>
          </w:tcPr>
          <w:p w14:paraId="3C7CA2C6" w14:textId="476882B6"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25978FF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940" w:type="dxa"/>
            <w:tcBorders>
              <w:top w:val="nil"/>
              <w:left w:val="nil"/>
              <w:bottom w:val="nil"/>
              <w:right w:val="nil"/>
            </w:tcBorders>
            <w:shd w:val="clear" w:color="auto" w:fill="auto"/>
            <w:noWrap/>
            <w:vAlign w:val="bottom"/>
            <w:hideMark/>
          </w:tcPr>
          <w:p w14:paraId="08AC2101" w14:textId="00159AE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940" w:type="dxa"/>
            <w:tcBorders>
              <w:top w:val="nil"/>
              <w:left w:val="nil"/>
              <w:bottom w:val="nil"/>
              <w:right w:val="nil"/>
            </w:tcBorders>
            <w:shd w:val="clear" w:color="auto" w:fill="auto"/>
            <w:noWrap/>
            <w:vAlign w:val="bottom"/>
            <w:hideMark/>
          </w:tcPr>
          <w:p w14:paraId="4E7AC7A1" w14:textId="4DABDCE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60" w:type="dxa"/>
            <w:tcBorders>
              <w:top w:val="nil"/>
              <w:left w:val="nil"/>
              <w:bottom w:val="nil"/>
              <w:right w:val="nil"/>
            </w:tcBorders>
            <w:shd w:val="clear" w:color="auto" w:fill="auto"/>
            <w:noWrap/>
            <w:vAlign w:val="bottom"/>
            <w:hideMark/>
          </w:tcPr>
          <w:p w14:paraId="57494208" w14:textId="0C89E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60" w:type="dxa"/>
            <w:tcBorders>
              <w:top w:val="nil"/>
              <w:left w:val="nil"/>
              <w:bottom w:val="nil"/>
              <w:right w:val="nil"/>
            </w:tcBorders>
            <w:shd w:val="clear" w:color="auto" w:fill="auto"/>
            <w:noWrap/>
            <w:vAlign w:val="bottom"/>
            <w:hideMark/>
          </w:tcPr>
          <w:p w14:paraId="3076FEE1" w14:textId="067D689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940" w:type="dxa"/>
            <w:tcBorders>
              <w:top w:val="nil"/>
              <w:left w:val="nil"/>
              <w:bottom w:val="nil"/>
              <w:right w:val="nil"/>
            </w:tcBorders>
            <w:shd w:val="clear" w:color="auto" w:fill="auto"/>
            <w:noWrap/>
            <w:vAlign w:val="bottom"/>
            <w:hideMark/>
          </w:tcPr>
          <w:p w14:paraId="601CCCA3" w14:textId="12D86F5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940" w:type="dxa"/>
            <w:tcBorders>
              <w:top w:val="nil"/>
              <w:left w:val="nil"/>
              <w:bottom w:val="nil"/>
              <w:right w:val="nil"/>
            </w:tcBorders>
            <w:shd w:val="clear" w:color="auto" w:fill="auto"/>
            <w:noWrap/>
            <w:vAlign w:val="bottom"/>
            <w:hideMark/>
          </w:tcPr>
          <w:p w14:paraId="4BE36D52" w14:textId="54E874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940" w:type="dxa"/>
            <w:tcBorders>
              <w:top w:val="nil"/>
              <w:left w:val="nil"/>
              <w:bottom w:val="nil"/>
              <w:right w:val="nil"/>
            </w:tcBorders>
            <w:shd w:val="clear" w:color="auto" w:fill="auto"/>
            <w:noWrap/>
            <w:vAlign w:val="bottom"/>
            <w:hideMark/>
          </w:tcPr>
          <w:p w14:paraId="6EE5B00A" w14:textId="2DCC90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20329EA0" w:rsidR="005F5E49" w:rsidRPr="003013E8" w:rsidRDefault="005F5E49" w:rsidP="005F5E49">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D</w:t>
      </w:r>
      <w:r w:rsidRPr="003013E8">
        <w:rPr>
          <w:rFonts w:eastAsia="Times New Roman" w:cs="Times New Roman"/>
          <w:bCs/>
          <w:color w:val="000000"/>
          <w:szCs w:val="20"/>
          <w:lang w:val="de-LU" w:eastAsia="de-DE"/>
        </w:rPr>
        <w:t xml:space="preserve">)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6B304C84" w14:textId="77777777" w:rsidR="00695C09" w:rsidRPr="003013E8" w:rsidRDefault="00695C09" w:rsidP="00695C09">
      <w:pPr>
        <w:spacing w:after="0"/>
        <w:rPr>
          <w:rFonts w:eastAsia="Times New Roman" w:cs="Times New Roman"/>
          <w:bCs/>
          <w:color w:val="000000"/>
          <w:szCs w:val="20"/>
          <w:lang w:val="de-LU"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137C468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1040" w:type="dxa"/>
            <w:tcBorders>
              <w:top w:val="nil"/>
              <w:left w:val="nil"/>
              <w:bottom w:val="nil"/>
              <w:right w:val="nil"/>
            </w:tcBorders>
            <w:shd w:val="clear" w:color="auto" w:fill="auto"/>
            <w:noWrap/>
            <w:vAlign w:val="bottom"/>
            <w:hideMark/>
          </w:tcPr>
          <w:p w14:paraId="4EE3B6F1" w14:textId="0BD7D06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1040" w:type="dxa"/>
            <w:tcBorders>
              <w:top w:val="nil"/>
              <w:left w:val="nil"/>
              <w:bottom w:val="nil"/>
              <w:right w:val="nil"/>
            </w:tcBorders>
            <w:shd w:val="clear" w:color="auto" w:fill="auto"/>
            <w:noWrap/>
            <w:vAlign w:val="bottom"/>
            <w:hideMark/>
          </w:tcPr>
          <w:p w14:paraId="10EE128C" w14:textId="53F6AC1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40" w:type="dxa"/>
            <w:tcBorders>
              <w:top w:val="nil"/>
              <w:left w:val="nil"/>
              <w:bottom w:val="nil"/>
              <w:right w:val="nil"/>
            </w:tcBorders>
            <w:shd w:val="clear" w:color="auto" w:fill="auto"/>
            <w:noWrap/>
            <w:vAlign w:val="bottom"/>
            <w:hideMark/>
          </w:tcPr>
          <w:p w14:paraId="184A33EB" w14:textId="59FF7B1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40" w:type="dxa"/>
            <w:tcBorders>
              <w:top w:val="nil"/>
              <w:left w:val="nil"/>
              <w:bottom w:val="nil"/>
              <w:right w:val="nil"/>
            </w:tcBorders>
            <w:shd w:val="clear" w:color="auto" w:fill="auto"/>
            <w:noWrap/>
            <w:vAlign w:val="bottom"/>
            <w:hideMark/>
          </w:tcPr>
          <w:p w14:paraId="71B6748B" w14:textId="776C898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1040" w:type="dxa"/>
            <w:tcBorders>
              <w:top w:val="nil"/>
              <w:left w:val="nil"/>
              <w:bottom w:val="nil"/>
              <w:right w:val="nil"/>
            </w:tcBorders>
            <w:shd w:val="clear" w:color="auto" w:fill="auto"/>
            <w:noWrap/>
            <w:vAlign w:val="bottom"/>
            <w:hideMark/>
          </w:tcPr>
          <w:p w14:paraId="7FA1DED8" w14:textId="723B6FE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1040" w:type="dxa"/>
            <w:tcBorders>
              <w:top w:val="nil"/>
              <w:left w:val="nil"/>
              <w:bottom w:val="nil"/>
              <w:right w:val="nil"/>
            </w:tcBorders>
            <w:shd w:val="clear" w:color="auto" w:fill="auto"/>
            <w:noWrap/>
            <w:vAlign w:val="bottom"/>
            <w:hideMark/>
          </w:tcPr>
          <w:p w14:paraId="7FEF0977" w14:textId="12970F2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1040" w:type="dxa"/>
            <w:tcBorders>
              <w:top w:val="nil"/>
              <w:left w:val="nil"/>
              <w:bottom w:val="nil"/>
              <w:right w:val="nil"/>
            </w:tcBorders>
            <w:shd w:val="clear" w:color="auto" w:fill="auto"/>
            <w:noWrap/>
            <w:vAlign w:val="bottom"/>
            <w:hideMark/>
          </w:tcPr>
          <w:p w14:paraId="104B03F5" w14:textId="1847C7B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00E23DB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1040" w:type="dxa"/>
            <w:tcBorders>
              <w:top w:val="nil"/>
              <w:left w:val="nil"/>
              <w:bottom w:val="nil"/>
              <w:right w:val="nil"/>
            </w:tcBorders>
            <w:shd w:val="clear" w:color="auto" w:fill="auto"/>
            <w:noWrap/>
            <w:vAlign w:val="bottom"/>
            <w:hideMark/>
          </w:tcPr>
          <w:p w14:paraId="4D1A1902" w14:textId="287437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1040" w:type="dxa"/>
            <w:tcBorders>
              <w:top w:val="nil"/>
              <w:left w:val="nil"/>
              <w:bottom w:val="nil"/>
              <w:right w:val="nil"/>
            </w:tcBorders>
            <w:shd w:val="clear" w:color="auto" w:fill="auto"/>
            <w:noWrap/>
            <w:vAlign w:val="bottom"/>
            <w:hideMark/>
          </w:tcPr>
          <w:p w14:paraId="7D3E3E2F" w14:textId="3F53EAF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40" w:type="dxa"/>
            <w:tcBorders>
              <w:top w:val="nil"/>
              <w:left w:val="nil"/>
              <w:bottom w:val="nil"/>
              <w:right w:val="nil"/>
            </w:tcBorders>
            <w:shd w:val="clear" w:color="auto" w:fill="auto"/>
            <w:noWrap/>
            <w:vAlign w:val="bottom"/>
            <w:hideMark/>
          </w:tcPr>
          <w:p w14:paraId="57E496D2" w14:textId="4632EF5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40" w:type="dxa"/>
            <w:tcBorders>
              <w:top w:val="nil"/>
              <w:left w:val="nil"/>
              <w:bottom w:val="nil"/>
              <w:right w:val="nil"/>
            </w:tcBorders>
            <w:shd w:val="clear" w:color="auto" w:fill="auto"/>
            <w:noWrap/>
            <w:vAlign w:val="bottom"/>
            <w:hideMark/>
          </w:tcPr>
          <w:p w14:paraId="777AD8F7" w14:textId="5474476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1040" w:type="dxa"/>
            <w:tcBorders>
              <w:top w:val="nil"/>
              <w:left w:val="nil"/>
              <w:bottom w:val="nil"/>
              <w:right w:val="nil"/>
            </w:tcBorders>
            <w:shd w:val="clear" w:color="auto" w:fill="auto"/>
            <w:noWrap/>
            <w:vAlign w:val="bottom"/>
            <w:hideMark/>
          </w:tcPr>
          <w:p w14:paraId="3EE28466" w14:textId="58B638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1040" w:type="dxa"/>
            <w:tcBorders>
              <w:top w:val="nil"/>
              <w:left w:val="nil"/>
              <w:bottom w:val="nil"/>
              <w:right w:val="nil"/>
            </w:tcBorders>
            <w:shd w:val="clear" w:color="auto" w:fill="auto"/>
            <w:noWrap/>
            <w:vAlign w:val="bottom"/>
            <w:hideMark/>
          </w:tcPr>
          <w:p w14:paraId="12FE22E3" w14:textId="51CFE03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1040" w:type="dxa"/>
            <w:tcBorders>
              <w:top w:val="nil"/>
              <w:left w:val="nil"/>
              <w:bottom w:val="nil"/>
              <w:right w:val="nil"/>
            </w:tcBorders>
            <w:shd w:val="clear" w:color="auto" w:fill="auto"/>
            <w:noWrap/>
            <w:vAlign w:val="bottom"/>
            <w:hideMark/>
          </w:tcPr>
          <w:p w14:paraId="3A8D0C2C" w14:textId="7AD62A2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0C80B9DC"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1040" w:type="dxa"/>
            <w:tcBorders>
              <w:top w:val="nil"/>
              <w:left w:val="nil"/>
              <w:bottom w:val="nil"/>
              <w:right w:val="nil"/>
            </w:tcBorders>
            <w:shd w:val="clear" w:color="auto" w:fill="auto"/>
            <w:noWrap/>
            <w:vAlign w:val="bottom"/>
            <w:hideMark/>
          </w:tcPr>
          <w:p w14:paraId="52CE0119" w14:textId="2592BA0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1040" w:type="dxa"/>
            <w:tcBorders>
              <w:top w:val="nil"/>
              <w:left w:val="nil"/>
              <w:bottom w:val="nil"/>
              <w:right w:val="nil"/>
            </w:tcBorders>
            <w:shd w:val="clear" w:color="auto" w:fill="auto"/>
            <w:noWrap/>
            <w:vAlign w:val="bottom"/>
            <w:hideMark/>
          </w:tcPr>
          <w:p w14:paraId="440CF1E0" w14:textId="7AFC90E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40" w:type="dxa"/>
            <w:tcBorders>
              <w:top w:val="nil"/>
              <w:left w:val="nil"/>
              <w:bottom w:val="nil"/>
              <w:right w:val="nil"/>
            </w:tcBorders>
            <w:shd w:val="clear" w:color="auto" w:fill="auto"/>
            <w:noWrap/>
            <w:vAlign w:val="bottom"/>
            <w:hideMark/>
          </w:tcPr>
          <w:p w14:paraId="3FA7F764" w14:textId="6EC8BAC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40" w:type="dxa"/>
            <w:tcBorders>
              <w:top w:val="nil"/>
              <w:left w:val="nil"/>
              <w:bottom w:val="nil"/>
              <w:right w:val="nil"/>
            </w:tcBorders>
            <w:shd w:val="clear" w:color="auto" w:fill="auto"/>
            <w:noWrap/>
            <w:vAlign w:val="bottom"/>
            <w:hideMark/>
          </w:tcPr>
          <w:p w14:paraId="29CA8914" w14:textId="2E1DF57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1040" w:type="dxa"/>
            <w:tcBorders>
              <w:top w:val="nil"/>
              <w:left w:val="nil"/>
              <w:bottom w:val="nil"/>
              <w:right w:val="nil"/>
            </w:tcBorders>
            <w:shd w:val="clear" w:color="auto" w:fill="auto"/>
            <w:noWrap/>
            <w:vAlign w:val="bottom"/>
            <w:hideMark/>
          </w:tcPr>
          <w:p w14:paraId="59F97E42" w14:textId="263E5E8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1040" w:type="dxa"/>
            <w:tcBorders>
              <w:top w:val="nil"/>
              <w:left w:val="nil"/>
              <w:bottom w:val="nil"/>
              <w:right w:val="nil"/>
            </w:tcBorders>
            <w:shd w:val="clear" w:color="auto" w:fill="auto"/>
            <w:noWrap/>
            <w:vAlign w:val="bottom"/>
            <w:hideMark/>
          </w:tcPr>
          <w:p w14:paraId="536D9A71" w14:textId="2720C01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1040" w:type="dxa"/>
            <w:tcBorders>
              <w:top w:val="nil"/>
              <w:left w:val="nil"/>
              <w:bottom w:val="nil"/>
              <w:right w:val="nil"/>
            </w:tcBorders>
            <w:shd w:val="clear" w:color="auto" w:fill="auto"/>
            <w:noWrap/>
            <w:vAlign w:val="bottom"/>
            <w:hideMark/>
          </w:tcPr>
          <w:p w14:paraId="2ECAD38B" w14:textId="1054A3D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lang w:val="de-LU" w:eastAsia="de-LU"/>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4F113E" w:rsidRDefault="004F113E"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" stroked="f">
                <v:textbox>
                  <w:txbxContent>
                    <w:p w14:paraId="78358D54" w14:textId="2A09E85F" w:rsidR="004F113E" w:rsidRDefault="004F113E"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lang w:val="de-LU" w:eastAsia="de-LU"/>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4F113E" w:rsidRPr="00F3668F" w:rsidRDefault="004F113E"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" stroked="f">
                <v:textbox>
                  <w:txbxContent>
                    <w:p w14:paraId="7E6FFA91" w14:textId="4DD3F91F" w:rsidR="004F113E" w:rsidRPr="00F3668F" w:rsidRDefault="004F113E" w:rsidP="00636BB1">
                      <w:pPr>
                        <w:rPr>
                          <w:sz w:val="20"/>
                        </w:rPr>
                      </w:pPr>
                      <w:r>
                        <w:rPr>
                          <w:sz w:val="20"/>
                        </w:rPr>
                        <w:t>Number of PCA axes retained</w:t>
                      </w:r>
                    </w:p>
                  </w:txbxContent>
                </v:textbox>
              </v:shape>
            </w:pict>
          </mc:Fallback>
        </mc:AlternateContent>
      </w:r>
      <w:r>
        <w:rPr>
          <w:noProof/>
          <w:lang w:val="de-LU" w:eastAsia="de-LU"/>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4F113E" w:rsidRPr="00F3668F" w:rsidRDefault="004F113E"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" stroked="f">
                <v:textbox>
                  <w:txbxContent>
                    <w:p w14:paraId="41C62B31" w14:textId="52856FD2" w:rsidR="004F113E" w:rsidRPr="00F3668F" w:rsidRDefault="004F113E" w:rsidP="00636BB1">
                      <w:pPr>
                        <w:rPr>
                          <w:sz w:val="20"/>
                        </w:rPr>
                      </w:pPr>
                      <w:r>
                        <w:rPr>
                          <w:sz w:val="20"/>
                        </w:rPr>
                        <w:t>Proportion of successful outcome prediction</w:t>
                      </w:r>
                    </w:p>
                  </w:txbxContent>
                </v:textbox>
              </v:shape>
            </w:pict>
          </mc:Fallback>
        </mc:AlternateContent>
      </w:r>
      <w:r w:rsidRPr="002034C6">
        <w:rPr>
          <w:noProof/>
          <w:lang w:val="de-LU" w:eastAsia="de-LU"/>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lang w:val="de-LU" w:eastAsia="de-LU"/>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uthor" w:initials="A">
    <w:p w14:paraId="2C30CA0A" w14:textId="6FC67BE9" w:rsidR="004F113E" w:rsidRDefault="004F113E">
      <w:pPr>
        <w:pStyle w:val="CommentText"/>
      </w:pPr>
      <w:r>
        <w:rPr>
          <w:rStyle w:val="CommentReference"/>
        </w:rPr>
        <w:annotationRef/>
      </w:r>
      <w:r>
        <w:t>Add the Luxembourg is among countries with highest landscape fragmentation, focus on the high density, fine-scale structure, specifically mention range of study area</w:t>
      </w:r>
    </w:p>
    <w:p w14:paraId="2C8C80AC" w14:textId="35F38267" w:rsidR="004F113E" w:rsidRDefault="004F113E">
      <w:pPr>
        <w:pStyle w:val="CommentText"/>
      </w:pPr>
      <w:r>
        <w:t>Add clear hypotheses</w:t>
      </w:r>
    </w:p>
  </w:comment>
  <w:comment w:id="3" w:author="Author" w:initials="A">
    <w:p w14:paraId="21B5C43A" w14:textId="2E1BCF6E" w:rsidR="004F113E" w:rsidRDefault="004F113E">
      <w:pPr>
        <w:pStyle w:val="CommentText"/>
      </w:pPr>
      <w:r>
        <w:rPr>
          <w:rStyle w:val="CommentReference"/>
        </w:rPr>
        <w:annotationRef/>
      </w:r>
      <w:r>
        <w:t>Check with Amanda/Stéphanie if this methodology is correct</w:t>
      </w:r>
    </w:p>
  </w:comment>
  <w:comment w:id="4" w:author="Author" w:initials="A">
    <w:p w14:paraId="53DDAA30" w14:textId="31E7E5B9" w:rsidR="004F113E" w:rsidRDefault="004F113E">
      <w:pPr>
        <w:pStyle w:val="CommentText"/>
      </w:pPr>
      <w:r>
        <w:rPr>
          <w:rStyle w:val="CommentReference"/>
        </w:rPr>
        <w:annotationRef/>
      </w:r>
      <w:r>
        <w:t>Wrong values? Stéphanie gave me one set and Alain another. Which one is right?</w:t>
      </w:r>
    </w:p>
  </w:comment>
  <w:comment w:id="5" w:author="Author" w:initials="A">
    <w:p w14:paraId="47D611C0" w14:textId="5CB28726" w:rsidR="004F113E" w:rsidRDefault="004F113E">
      <w:pPr>
        <w:pStyle w:val="CommentText"/>
      </w:pPr>
      <w:r>
        <w:rPr>
          <w:rStyle w:val="CommentReference"/>
        </w:rPr>
        <w:annotationRef/>
      </w:r>
      <w:r>
        <w:t xml:space="preserve">What about controls? Were negative controls included on all plates </w:t>
      </w:r>
      <w:proofErr w:type="spellStart"/>
      <w:r>
        <w:t>etc</w:t>
      </w:r>
      <w:proofErr w:type="spellEnd"/>
      <w:r>
        <w:t xml:space="preserve">? </w:t>
      </w:r>
    </w:p>
  </w:comment>
  <w:comment w:id="6" w:author="Author" w:initials="A">
    <w:p w14:paraId="2AE2886F" w14:textId="212005D4" w:rsidR="004F113E" w:rsidRDefault="004F113E" w:rsidP="00DC0F04">
      <w:pPr>
        <w:pStyle w:val="CommentText"/>
      </w:pPr>
      <w:r>
        <w:rPr>
          <w:rStyle w:val="CommentReference"/>
        </w:rPr>
        <w:annotationRef/>
      </w:r>
      <w:r>
        <w:t>This seems an arbitrary threshold. The threshold should be based on the number of tests and the number of expected false positive tests, e.g. for 14 loci and 9+10 districts and communes, you have 266 tests. At an alpha of 0.05, you would expect 13.3 false positive p-values. To get 95% confidence interval, you can use the binomial distribution, which gives 7-20 false positive p-values. Accordingly, if the analyses yields fewer than 20 significant p-values, one can assume no significant deviation from HW proportions.</w:t>
      </w:r>
    </w:p>
    <w:p w14:paraId="648C630A" w14:textId="326BDE0A" w:rsidR="004F113E" w:rsidRDefault="004F113E" w:rsidP="00DC0F04">
      <w:pPr>
        <w:pStyle w:val="CommentText"/>
      </w:pPr>
      <w:r>
        <w:t xml:space="preserve">At the moment you apply FDR but still accept significant p-values in a third of the partitions even though you already corrected for multiple testing. But changing methodology now would probably lead to exclude some additional loci in M. florea. Although for Myathropa, 11 individuals are very few to estimate HW proportions for, I would have used also 20 individuals and grouped by canton or </w:t>
      </w:r>
      <w:proofErr w:type="spellStart"/>
      <w:r>
        <w:t>neighbouring</w:t>
      </w:r>
      <w:proofErr w:type="spellEnd"/>
      <w:r>
        <w:t xml:space="preserve"> communes if there were barely any communes with 20 samples. </w:t>
      </w:r>
    </w:p>
  </w:comment>
  <w:comment w:id="7" w:author="Author" w:initials="A">
    <w:p w14:paraId="456D4A6E" w14:textId="203C2AB2" w:rsidR="004F113E" w:rsidRDefault="004F113E">
      <w:pPr>
        <w:pStyle w:val="CommentText"/>
      </w:pPr>
      <w:r>
        <w:rPr>
          <w:rStyle w:val="CommentReference"/>
        </w:rPr>
        <w:annotationRef/>
      </w:r>
      <w:r>
        <w:t>Include results of these, e.g. as a table for Luxembourg/Cologne and urban/non-urban</w:t>
      </w:r>
    </w:p>
  </w:comment>
  <w:comment w:id="8" w:author="Author" w:initials="A">
    <w:p w14:paraId="3AABE10C" w14:textId="672016DC" w:rsidR="004F113E" w:rsidRDefault="004F113E">
      <w:pPr>
        <w:pStyle w:val="CommentText"/>
      </w:pPr>
      <w:r>
        <w:rPr>
          <w:rStyle w:val="CommentReference"/>
        </w:rPr>
        <w:annotationRef/>
      </w:r>
      <w:r>
        <w:t>This is never mentioned again, were there interesting results, delete or report results</w:t>
      </w:r>
    </w:p>
  </w:comment>
  <w:comment w:id="9" w:author="Author" w:initials="A">
    <w:p w14:paraId="68A5DBA0" w14:textId="5C8CCA87" w:rsidR="004F113E" w:rsidRDefault="004F113E">
      <w:pPr>
        <w:pStyle w:val="CommentText"/>
      </w:pPr>
      <w:r>
        <w:rPr>
          <w:rStyle w:val="CommentReference"/>
        </w:rPr>
        <w:annotationRef/>
      </w:r>
      <w:r>
        <w:t>What is this? Which genetic distance is this? Add the results in the result section</w:t>
      </w:r>
    </w:p>
  </w:comment>
  <w:comment w:id="10" w:author="Author" w:initials="A">
    <w:p w14:paraId="04E05B25" w14:textId="77777777" w:rsidR="004F113E" w:rsidRPr="00AF2558" w:rsidRDefault="004F113E" w:rsidP="00537624">
      <w:pPr>
        <w:spacing w:after="0" w:line="240" w:lineRule="auto"/>
        <w:rPr>
          <w:rFonts w:eastAsia="Times New Roman" w:cs="Times New Roman"/>
          <w:szCs w:val="24"/>
        </w:rPr>
      </w:pPr>
      <w:r>
        <w:rPr>
          <w:rStyle w:val="CommentReference"/>
        </w:rPr>
        <w:annotationRef/>
      </w:r>
      <w:proofErr w:type="spellStart"/>
      <w:r w:rsidRPr="00AF2558">
        <w:rPr>
          <w:rFonts w:eastAsia="Times New Roman" w:cs="Times New Roman"/>
          <w:szCs w:val="24"/>
        </w:rPr>
        <w:t>Corander</w:t>
      </w:r>
      <w:proofErr w:type="spellEnd"/>
      <w:r w:rsidRPr="00AF2558">
        <w:rPr>
          <w:rFonts w:eastAsia="Times New Roman" w:cs="Times New Roman"/>
          <w:szCs w:val="24"/>
        </w:rPr>
        <w:t xml:space="preserve">, J., </w:t>
      </w:r>
      <w:proofErr w:type="spellStart"/>
      <w:r w:rsidRPr="00AF2558">
        <w:rPr>
          <w:rFonts w:eastAsia="Times New Roman" w:cs="Times New Roman"/>
          <w:szCs w:val="24"/>
        </w:rPr>
        <w:t>Sirén</w:t>
      </w:r>
      <w:proofErr w:type="spellEnd"/>
      <w:r w:rsidRPr="00AF2558">
        <w:rPr>
          <w:rFonts w:eastAsia="Times New Roman" w:cs="Times New Roman"/>
          <w:szCs w:val="24"/>
        </w:rPr>
        <w:t xml:space="preserve">, J., &amp; </w:t>
      </w:r>
      <w:proofErr w:type="spellStart"/>
      <w:r w:rsidRPr="00AF2558">
        <w:rPr>
          <w:rFonts w:eastAsia="Times New Roman" w:cs="Times New Roman"/>
          <w:szCs w:val="24"/>
        </w:rPr>
        <w:t>Arjas</w:t>
      </w:r>
      <w:proofErr w:type="spellEnd"/>
      <w:r w:rsidRPr="00AF2558">
        <w:rPr>
          <w:rFonts w:eastAsia="Times New Roman" w:cs="Times New Roman"/>
          <w:szCs w:val="24"/>
        </w:rPr>
        <w:t xml:space="preserve">, E. (2008). Bayesian spatial modeling of genetic population structure. </w:t>
      </w:r>
      <w:r w:rsidRPr="00AF2558">
        <w:rPr>
          <w:rFonts w:eastAsia="Times New Roman" w:cs="Times New Roman"/>
          <w:i/>
          <w:iCs/>
          <w:szCs w:val="24"/>
        </w:rPr>
        <w:t>Computational Statistics</w:t>
      </w:r>
      <w:r w:rsidRPr="00AF2558">
        <w:rPr>
          <w:rFonts w:eastAsia="Times New Roman" w:cs="Times New Roman"/>
          <w:szCs w:val="24"/>
        </w:rPr>
        <w:t xml:space="preserve">, </w:t>
      </w:r>
      <w:r w:rsidRPr="00AF2558">
        <w:rPr>
          <w:rFonts w:eastAsia="Times New Roman" w:cs="Times New Roman"/>
          <w:i/>
          <w:iCs/>
          <w:szCs w:val="24"/>
        </w:rPr>
        <w:t>23</w:t>
      </w:r>
      <w:r w:rsidRPr="00AF2558">
        <w:rPr>
          <w:rFonts w:eastAsia="Times New Roman" w:cs="Times New Roman"/>
          <w:szCs w:val="24"/>
        </w:rPr>
        <w:t>(1), 111–129. https://doi.org/10.1007/s00180-007-0072-x</w:t>
      </w:r>
    </w:p>
    <w:p w14:paraId="2E155945" w14:textId="77777777" w:rsidR="004F113E" w:rsidRDefault="004F113E" w:rsidP="00537624">
      <w:pPr>
        <w:pStyle w:val="CommentText"/>
      </w:pPr>
    </w:p>
  </w:comment>
  <w:comment w:id="11" w:author="Author" w:initials="A">
    <w:p w14:paraId="040E7E74" w14:textId="77777777" w:rsidR="004F113E" w:rsidRDefault="004F113E" w:rsidP="00537624">
      <w:pPr>
        <w:pStyle w:val="CommentText"/>
      </w:pPr>
      <w:r>
        <w:rPr>
          <w:rStyle w:val="CommentReference"/>
        </w:rPr>
        <w:annotationRef/>
      </w:r>
      <w:r>
        <w:t>This is vague, I suggest removing or specifying for which parameters/settings these recommendations applied to.</w:t>
      </w:r>
    </w:p>
  </w:comment>
  <w:comment w:id="12" w:author="Author" w:initials="A">
    <w:p w14:paraId="3B15E3D2" w14:textId="77777777" w:rsidR="004F113E" w:rsidRDefault="004F113E" w:rsidP="00537624">
      <w:pPr>
        <w:pStyle w:val="CommentText"/>
      </w:pPr>
      <w:r>
        <w:rPr>
          <w:rStyle w:val="CommentReference"/>
        </w:rPr>
        <w:annotationRef/>
      </w:r>
      <w:r>
        <w:t>Rephrase, e.g. This is a necessary step to avoid overfitting while preserving discrimination power given that the first few components represent most of the genetic variation.</w:t>
      </w:r>
    </w:p>
  </w:comment>
  <w:comment w:id="13" w:author="Author" w:initials="A">
    <w:p w14:paraId="5CB56DCC" w14:textId="077B12F7" w:rsidR="004F113E" w:rsidRDefault="004F113E" w:rsidP="00116356">
      <w:pPr>
        <w:pStyle w:val="CommentText"/>
      </w:pPr>
      <w:r>
        <w:rPr>
          <w:rStyle w:val="CommentReference"/>
        </w:rPr>
        <w:annotationRef/>
      </w:r>
      <w:r>
        <w:t xml:space="preserve">Fitzpatrick M, </w:t>
      </w:r>
      <w:proofErr w:type="spellStart"/>
      <w:r>
        <w:t>Mokany</w:t>
      </w:r>
      <w:proofErr w:type="spellEnd"/>
      <w:r>
        <w:t xml:space="preserve"> K, </w:t>
      </w:r>
      <w:proofErr w:type="spellStart"/>
      <w:r>
        <w:t>Manion</w:t>
      </w:r>
      <w:proofErr w:type="spellEnd"/>
      <w:r>
        <w:t xml:space="preserve"> G, Nieto-</w:t>
      </w:r>
      <w:proofErr w:type="spellStart"/>
      <w:r>
        <w:t>Lugilde</w:t>
      </w:r>
      <w:proofErr w:type="spellEnd"/>
      <w:r>
        <w:t xml:space="preserve"> D, Ferrier S (2022). </w:t>
      </w:r>
      <w:proofErr w:type="spellStart"/>
      <w:proofErr w:type="gramStart"/>
      <w:r>
        <w:t>gdm</w:t>
      </w:r>
      <w:proofErr w:type="spellEnd"/>
      <w:proofErr w:type="gramEnd"/>
      <w:r>
        <w:t>: Generalized Dissimilarity Modeling. R package version 1.5.0-9.1,</w:t>
      </w:r>
    </w:p>
    <w:p w14:paraId="61D98609" w14:textId="37421163" w:rsidR="004F113E" w:rsidRDefault="004F113E" w:rsidP="00116356">
      <w:pPr>
        <w:pStyle w:val="CommentText"/>
      </w:pPr>
      <w:r>
        <w:t xml:space="preserve">  &lt;https://CRAN.R-project.org/package=gdm&gt;</w:t>
      </w:r>
    </w:p>
  </w:comment>
  <w:comment w:id="14" w:author="Author" w:initials="A">
    <w:p w14:paraId="66D7EFFF" w14:textId="32B55CAC" w:rsidR="004F113E" w:rsidRPr="00116356" w:rsidRDefault="004F113E">
      <w:pPr>
        <w:pStyle w:val="CommentText"/>
      </w:pPr>
      <w:r>
        <w:rPr>
          <w:rStyle w:val="CommentReference"/>
        </w:rPr>
        <w:annotationRef/>
      </w:r>
      <w:r w:rsidRPr="00116356">
        <w:rPr>
          <w:rFonts w:ascii="Arial" w:hAnsi="Arial" w:cs="Arial"/>
          <w:bCs/>
          <w:color w:val="202124"/>
          <w:shd w:val="clear" w:color="auto" w:fill="FFFFFF"/>
        </w:rPr>
        <w:t>QGIS Development Team (2022).</w:t>
      </w:r>
      <w:r w:rsidRPr="00116356">
        <w:rPr>
          <w:rFonts w:ascii="Arial" w:hAnsi="Arial" w:cs="Arial"/>
          <w:color w:val="202124"/>
          <w:shd w:val="clear" w:color="auto" w:fill="FFFFFF"/>
        </w:rPr>
        <w:t> </w:t>
      </w:r>
      <w:r w:rsidRPr="00116356">
        <w:rPr>
          <w:rFonts w:ascii="Arial" w:hAnsi="Arial" w:cs="Arial"/>
          <w:bCs/>
          <w:color w:val="202124"/>
          <w:shd w:val="clear" w:color="auto" w:fill="FFFFFF"/>
        </w:rPr>
        <w:t>QGIS Geographic Information System.</w:t>
      </w:r>
      <w:r w:rsidRPr="00116356">
        <w:rPr>
          <w:rFonts w:ascii="Arial" w:hAnsi="Arial" w:cs="Arial"/>
          <w:color w:val="202124"/>
          <w:shd w:val="clear" w:color="auto" w:fill="FFFFFF"/>
        </w:rPr>
        <w:t> </w:t>
      </w:r>
      <w:r w:rsidRPr="00116356">
        <w:rPr>
          <w:rFonts w:ascii="Arial" w:hAnsi="Arial" w:cs="Arial"/>
          <w:bCs/>
          <w:color w:val="202124"/>
          <w:shd w:val="clear" w:color="auto" w:fill="FFFFFF"/>
        </w:rPr>
        <w:t>Open Source Geospatial Foundation Project.</w:t>
      </w:r>
      <w:r w:rsidRPr="00116356">
        <w:rPr>
          <w:rFonts w:ascii="Arial" w:hAnsi="Arial" w:cs="Arial"/>
          <w:color w:val="202124"/>
          <w:shd w:val="clear" w:color="auto" w:fill="FFFFFF"/>
        </w:rPr>
        <w:t> </w:t>
      </w:r>
      <w:r w:rsidRPr="00116356">
        <w:rPr>
          <w:rFonts w:ascii="Arial" w:hAnsi="Arial" w:cs="Arial"/>
          <w:bCs/>
          <w:color w:val="202124"/>
          <w:shd w:val="clear" w:color="auto" w:fill="FFFFFF"/>
        </w:rPr>
        <w:t>http://qgis.osgeo.org"</w:t>
      </w:r>
      <w:r w:rsidRPr="00116356">
        <w:rPr>
          <w:rFonts w:ascii="Arial" w:hAnsi="Arial" w:cs="Arial"/>
          <w:color w:val="202124"/>
          <w:shd w:val="clear" w:color="auto" w:fill="FFFFFF"/>
        </w:rPr>
        <w:t>.</w:t>
      </w:r>
    </w:p>
  </w:comment>
  <w:comment w:id="15" w:author="Author" w:initials="A">
    <w:p w14:paraId="0BC53950" w14:textId="09ADF27B" w:rsidR="004F113E" w:rsidRDefault="004F113E">
      <w:pPr>
        <w:pStyle w:val="CommentText"/>
      </w:pPr>
      <w:r>
        <w:rPr>
          <w:rStyle w:val="CommentReference"/>
        </w:rPr>
        <w:annotationRef/>
      </w:r>
      <w:r>
        <w:t xml:space="preserve">Add allelic richness results, FST, compare urban/non-urban genetic diversity </w:t>
      </w:r>
      <w:proofErr w:type="spellStart"/>
      <w:r>
        <w:t>etc</w:t>
      </w:r>
      <w:proofErr w:type="spellEnd"/>
      <w:r>
        <w:t xml:space="preserve"> see your methods</w:t>
      </w:r>
    </w:p>
  </w:comment>
  <w:comment w:id="16" w:author="Author" w:initials="A">
    <w:p w14:paraId="1128EDAA" w14:textId="77777777" w:rsidR="004F113E" w:rsidRDefault="004F113E" w:rsidP="00BA40E3">
      <w:pPr>
        <w:pStyle w:val="CommentText"/>
      </w:pPr>
      <w:r>
        <w:rPr>
          <w:rStyle w:val="CommentReference"/>
        </w:rPr>
        <w:annotationRef/>
      </w:r>
      <w:r>
        <w:t>When submitting for publication you need to generate plots with integrated axes labels and large label font sizes. What do left and right panels refer to?</w:t>
      </w:r>
    </w:p>
  </w:comment>
  <w:comment w:id="17" w:author="Author" w:initials="A">
    <w:p w14:paraId="69CBC694" w14:textId="7148D714" w:rsidR="004F113E" w:rsidRDefault="004F113E">
      <w:pPr>
        <w:pStyle w:val="CommentText"/>
      </w:pPr>
      <w:r>
        <w:rPr>
          <w:rStyle w:val="CommentReferenc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Plus all we show is that we failed to reject the null hypothesis of </w:t>
      </w:r>
      <w:proofErr w:type="spellStart"/>
      <w:r>
        <w:t>panmixia</w:t>
      </w:r>
      <w:proofErr w:type="spellEnd"/>
      <w:r>
        <w:t xml:space="preserve">, the landscape can still affect gene flow, but likely current levels of gene flow compensate for genetic drift so we don’t observe the differentiation, but there can still be an effect at a scale we didn’t measure. </w:t>
      </w:r>
    </w:p>
  </w:comment>
  <w:comment w:id="18" w:author="Author" w:initials="A">
    <w:p w14:paraId="66CAD81D" w14:textId="4616BAC1" w:rsidR="004F113E" w:rsidRPr="00C90829" w:rsidRDefault="004F113E">
      <w:pPr>
        <w:pStyle w:val="CommentText"/>
      </w:pPr>
      <w:r>
        <w:rPr>
          <w:rStyle w:val="CommentReference"/>
        </w:rPr>
        <w:annotationRef/>
      </w:r>
      <w:r w:rsidRPr="00C90829">
        <w:t>Change</w:t>
      </w:r>
    </w:p>
  </w:comment>
  <w:comment w:id="19" w:author="Author" w:initials="A">
    <w:p w14:paraId="08CEA263" w14:textId="7AD00140" w:rsidR="004F113E" w:rsidRDefault="004F113E">
      <w:pPr>
        <w:pStyle w:val="CommentText"/>
      </w:pPr>
      <w:r>
        <w:rPr>
          <w:rStyle w:val="CommentReference"/>
        </w:rPr>
        <w:annotationRef/>
      </w:r>
      <w:r>
        <w:t>I would delete this, simply report that STRUCTURE suggested K = 1, no need to discuss other clustering solutions.</w:t>
      </w:r>
    </w:p>
  </w:comment>
  <w:comment w:id="20" w:author="Author" w:initials="A">
    <w:p w14:paraId="2EE6BE1F" w14:textId="7EFD92B4" w:rsidR="004F113E" w:rsidRDefault="004F113E">
      <w:pPr>
        <w:pStyle w:val="CommentText"/>
      </w:pPr>
      <w:r>
        <w:rPr>
          <w:rStyle w:val="CommentReference"/>
        </w:rPr>
        <w:annotationRef/>
      </w:r>
      <w:r>
        <w:t xml:space="preserve">Failure to reject </w:t>
      </w:r>
      <w:proofErr w:type="spellStart"/>
      <w:r>
        <w:t>panmixia</w:t>
      </w:r>
      <w:proofErr w:type="spellEnd"/>
      <w:r>
        <w:t xml:space="preserve"> is not necessarily evidence for a single </w:t>
      </w:r>
      <w:proofErr w:type="spellStart"/>
      <w:r>
        <w:t>panmictic</w:t>
      </w:r>
      <w:proofErr w:type="spellEnd"/>
      <w:r>
        <w:t xml:space="preserve"> population; you need to discuss other possibilities, e.g. the effect of large effective population sizes on genetic drift vs gene flow, the power of the genetic markers/ effect size; and put it in context of other insect studies that investigated genetic structure at such a small spatial scale. </w:t>
      </w:r>
    </w:p>
  </w:comment>
  <w:comment w:id="21" w:author="Author" w:initials="A">
    <w:p w14:paraId="1B39B95E" w14:textId="77777777" w:rsidR="004F113E" w:rsidRPr="003B2190" w:rsidRDefault="004F113E" w:rsidP="003B2190">
      <w:pPr>
        <w:spacing w:after="0" w:line="240" w:lineRule="auto"/>
        <w:rPr>
          <w:rFonts w:eastAsia="Times New Roman" w:cs="Times New Roman"/>
          <w:szCs w:val="24"/>
        </w:rPr>
      </w:pPr>
      <w:r>
        <w:rPr>
          <w:rStyle w:val="CommentReference"/>
        </w:rPr>
        <w:annotationRef/>
      </w:r>
      <w:r w:rsidRPr="003B2190">
        <w:rPr>
          <w:rFonts w:eastAsia="Times New Roman" w:cs="Times New Roman"/>
          <w:szCs w:val="24"/>
          <w:lang w:val="de-DE"/>
        </w:rPr>
        <w:t xml:space="preserve">Glück, M., </w:t>
      </w:r>
      <w:proofErr w:type="spellStart"/>
      <w:r w:rsidRPr="003B2190">
        <w:rPr>
          <w:rFonts w:eastAsia="Times New Roman" w:cs="Times New Roman"/>
          <w:szCs w:val="24"/>
          <w:lang w:val="de-DE"/>
        </w:rPr>
        <w:t>Geue</w:t>
      </w:r>
      <w:proofErr w:type="spellEnd"/>
      <w:r w:rsidRPr="003B2190">
        <w:rPr>
          <w:rFonts w:eastAsia="Times New Roman" w:cs="Times New Roman"/>
          <w:szCs w:val="24"/>
          <w:lang w:val="de-DE"/>
        </w:rPr>
        <w:t xml:space="preserve">, J. C., &amp; Thomassen, H. A. (2022). </w:t>
      </w:r>
      <w:r w:rsidRPr="003B2190">
        <w:rPr>
          <w:rFonts w:eastAsia="Times New Roman" w:cs="Times New Roman"/>
          <w:szCs w:val="24"/>
        </w:rPr>
        <w:t xml:space="preserve">Environmental differences explain subtle yet detectable genetic structure in a widespread pollinator. </w:t>
      </w:r>
      <w:r w:rsidRPr="003B2190">
        <w:rPr>
          <w:rFonts w:eastAsia="Times New Roman" w:cs="Times New Roman"/>
          <w:i/>
          <w:iCs/>
          <w:szCs w:val="24"/>
        </w:rPr>
        <w:t>BMC Ecology and Evolution</w:t>
      </w:r>
      <w:r w:rsidRPr="003B2190">
        <w:rPr>
          <w:rFonts w:eastAsia="Times New Roman" w:cs="Times New Roman"/>
          <w:szCs w:val="24"/>
        </w:rPr>
        <w:t xml:space="preserve">, </w:t>
      </w:r>
      <w:r w:rsidRPr="003B2190">
        <w:rPr>
          <w:rFonts w:eastAsia="Times New Roman" w:cs="Times New Roman"/>
          <w:i/>
          <w:iCs/>
          <w:szCs w:val="24"/>
        </w:rPr>
        <w:t>22</w:t>
      </w:r>
      <w:r w:rsidRPr="003B2190">
        <w:rPr>
          <w:rFonts w:eastAsia="Times New Roman" w:cs="Times New Roman"/>
          <w:szCs w:val="24"/>
        </w:rPr>
        <w:t>(1), 1–16. https://doi.org/10.1186/s12862-022-01963-5</w:t>
      </w:r>
    </w:p>
    <w:p w14:paraId="26E8401C" w14:textId="36F02C2B" w:rsidR="004F113E" w:rsidRDefault="004F113E">
      <w:pPr>
        <w:pStyle w:val="CommentText"/>
      </w:pPr>
    </w:p>
  </w:comment>
  <w:comment w:id="22" w:author="Author" w:initials="A">
    <w:p w14:paraId="68F7F1CE" w14:textId="16FB9951" w:rsidR="004F113E" w:rsidRDefault="004F113E">
      <w:pPr>
        <w:pStyle w:val="CommentText"/>
      </w:pPr>
      <w:r>
        <w:rPr>
          <w:rStyle w:val="CommentReference"/>
        </w:rPr>
        <w:annotationRef/>
      </w:r>
      <w:r>
        <w:t>I suggest deleting this because you removed this part of the DAPC analysis and don’t need to discuss this aspect of STRUCTURE. STRUCTURE is known to not perform well with IBD and low genetic differentiation, so in those situation one wants to use alternative methods with higher power to detect differentiation.</w:t>
      </w:r>
    </w:p>
  </w:comment>
  <w:comment w:id="23" w:author="Author" w:initials="A">
    <w:p w14:paraId="6B789816" w14:textId="323566DA" w:rsidR="004F113E" w:rsidRDefault="004F113E">
      <w:pPr>
        <w:pStyle w:val="CommentText"/>
      </w:pPr>
      <w:r>
        <w:rPr>
          <w:rStyle w:val="CommentReference"/>
        </w:rPr>
        <w:annotationRef/>
      </w:r>
      <w:r>
        <w:t>How did urban/rural genetic diversity compare in our dataset?</w:t>
      </w:r>
    </w:p>
  </w:comment>
  <w:comment w:id="24" w:author="Author" w:initials="A">
    <w:p w14:paraId="36E35617" w14:textId="7639A2F9" w:rsidR="004F113E" w:rsidRDefault="004F113E">
      <w:pPr>
        <w:pStyle w:val="CommentText"/>
      </w:pPr>
      <w:r>
        <w:rPr>
          <w:rStyle w:val="CommentReference"/>
        </w:rPr>
        <w:annotationRef/>
      </w:r>
      <w:r>
        <w:t>Gene flow might still be lower, but still high enough to offset effect of genetic drift</w:t>
      </w:r>
    </w:p>
  </w:comment>
  <w:comment w:id="25" w:author="Author" w:initials="A">
    <w:p w14:paraId="64C58683" w14:textId="3D72CA5D" w:rsidR="004F113E" w:rsidRDefault="004F113E">
      <w:pPr>
        <w:pStyle w:val="CommentText"/>
      </w:pPr>
      <w:r>
        <w:rPr>
          <w:rStyle w:val="CommentReference"/>
        </w:rPr>
        <w:annotationRef/>
      </w:r>
      <w:r>
        <w:t>But did urban areas have lower genetic diversity?</w:t>
      </w:r>
    </w:p>
  </w:comment>
  <w:comment w:id="26" w:author="Author" w:initials="A">
    <w:p w14:paraId="571064D3" w14:textId="740F7376" w:rsidR="004F113E" w:rsidRDefault="004F113E">
      <w:pPr>
        <w:pStyle w:val="CommentText"/>
      </w:pPr>
      <w:r>
        <w:rPr>
          <w:rStyle w:val="CommentReference"/>
        </w:rPr>
        <w:annotationRef/>
      </w:r>
      <w:r>
        <w:t>Speculative. I would test if there was indeed lower genetic diversity in cities before making such statements.</w:t>
      </w:r>
    </w:p>
  </w:comment>
  <w:comment w:id="27" w:author="Author" w:initials="A">
    <w:p w14:paraId="6C8EFA95" w14:textId="0692229F" w:rsidR="004F113E" w:rsidRDefault="004F113E">
      <w:pPr>
        <w:pStyle w:val="CommentText"/>
      </w:pPr>
      <w:r>
        <w:rPr>
          <w:rStyle w:val="CommentReference"/>
        </w:rPr>
        <w:annotationRef/>
      </w:r>
      <w:r>
        <w:t>Interesting but doesn’t fit with study objectives in my opinion, maybe shorten?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8C80AC" w15:done="0"/>
  <w15:commentEx w15:paraId="21B5C43A" w15:done="0"/>
  <w15:commentEx w15:paraId="53DDAA30" w15:done="0"/>
  <w15:commentEx w15:paraId="47D611C0" w15:done="0"/>
  <w15:commentEx w15:paraId="648C630A" w15:done="0"/>
  <w15:commentEx w15:paraId="456D4A6E" w15:done="0"/>
  <w15:commentEx w15:paraId="3AABE10C" w15:done="0"/>
  <w15:commentEx w15:paraId="68A5DBA0" w15:done="0"/>
  <w15:commentEx w15:paraId="2E155945" w15:done="0"/>
  <w15:commentEx w15:paraId="040E7E74" w15:done="0"/>
  <w15:commentEx w15:paraId="3B15E3D2" w15:done="0"/>
  <w15:commentEx w15:paraId="61D98609" w15:done="0"/>
  <w15:commentEx w15:paraId="66D7EFFF" w15:done="0"/>
  <w15:commentEx w15:paraId="0BC53950" w15:done="0"/>
  <w15:commentEx w15:paraId="1128EDAA" w15:done="0"/>
  <w15:commentEx w15:paraId="69CBC694" w15:done="0"/>
  <w15:commentEx w15:paraId="66CAD81D" w15:done="0"/>
  <w15:commentEx w15:paraId="08CEA263" w15:done="0"/>
  <w15:commentEx w15:paraId="2EE6BE1F" w15:done="0"/>
  <w15:commentEx w15:paraId="26E8401C" w15:done="0"/>
  <w15:commentEx w15:paraId="68F7F1CE" w15:done="0"/>
  <w15:commentEx w15:paraId="6B789816" w15:done="0"/>
  <w15:commentEx w15:paraId="36E35617" w15:done="0"/>
  <w15:commentEx w15:paraId="64C58683" w15:done="0"/>
  <w15:commentEx w15:paraId="571064D3" w15:done="0"/>
  <w15:commentEx w15:paraId="6C8EFA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036D54F1" w16cid:durableId="274A51EE"/>
  <w16cid:commentId w16cid:paraId="7E1BB5B0" w16cid:durableId="2716AB71"/>
  <w16cid:commentId w16cid:paraId="486D0DDE" w16cid:durableId="274A3F07"/>
  <w16cid:commentId w16cid:paraId="53DDAA30" w16cid:durableId="274A3F08"/>
  <w16cid:commentId w16cid:paraId="7D3817C2" w16cid:durableId="274A3F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9D04CD" w14:textId="77777777" w:rsidR="00CE4CE3" w:rsidRDefault="00CE4CE3" w:rsidP="001E1E6D">
      <w:pPr>
        <w:spacing w:after="0" w:line="240" w:lineRule="auto"/>
      </w:pPr>
      <w:r>
        <w:separator/>
      </w:r>
    </w:p>
  </w:endnote>
  <w:endnote w:type="continuationSeparator" w:id="0">
    <w:p w14:paraId="5CA03A13" w14:textId="77777777" w:rsidR="00CE4CE3" w:rsidRDefault="00CE4CE3"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3F32F990" w:rsidR="004F113E" w:rsidRDefault="004F113E">
        <w:pPr>
          <w:pStyle w:val="Footer"/>
          <w:jc w:val="right"/>
        </w:pPr>
        <w:r>
          <w:fldChar w:fldCharType="begin"/>
        </w:r>
        <w:r>
          <w:instrText xml:space="preserve"> PAGE   \* MERGEFORMAT </w:instrText>
        </w:r>
        <w:r>
          <w:fldChar w:fldCharType="separate"/>
        </w:r>
        <w:r w:rsidR="00D443B6">
          <w:rPr>
            <w:noProof/>
          </w:rPr>
          <w:t>22</w:t>
        </w:r>
        <w:r>
          <w:rPr>
            <w:noProof/>
          </w:rPr>
          <w:fldChar w:fldCharType="end"/>
        </w:r>
      </w:p>
    </w:sdtContent>
  </w:sdt>
  <w:p w14:paraId="12BA5F2B" w14:textId="77777777" w:rsidR="004F113E" w:rsidRDefault="004F1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687854" w14:textId="77777777" w:rsidR="00CE4CE3" w:rsidRDefault="00CE4CE3" w:rsidP="001E1E6D">
      <w:pPr>
        <w:spacing w:after="0" w:line="240" w:lineRule="auto"/>
      </w:pPr>
      <w:r>
        <w:separator/>
      </w:r>
    </w:p>
  </w:footnote>
  <w:footnote w:type="continuationSeparator" w:id="0">
    <w:p w14:paraId="3B3FF51A" w14:textId="77777777" w:rsidR="00CE4CE3" w:rsidRDefault="00CE4CE3"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B640E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3"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de-DE" w:vendorID="64" w:dllVersion="131078" w:nlCheck="1" w:checkStyle="0"/>
  <w:activeWritingStyle w:appName="MSWord" w:lang="de-LU" w:vendorID="64" w:dllVersion="131078" w:nlCheck="1" w:checkStyle="0"/>
  <w:activeWritingStyle w:appName="MSWord" w:lang="fr-LU"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72CF"/>
    <w:rsid w:val="00020207"/>
    <w:rsid w:val="000211A1"/>
    <w:rsid w:val="000233A3"/>
    <w:rsid w:val="00026F81"/>
    <w:rsid w:val="0002780C"/>
    <w:rsid w:val="00031933"/>
    <w:rsid w:val="00032E08"/>
    <w:rsid w:val="00036544"/>
    <w:rsid w:val="00036CA6"/>
    <w:rsid w:val="00037499"/>
    <w:rsid w:val="00041655"/>
    <w:rsid w:val="00042AA8"/>
    <w:rsid w:val="000451BB"/>
    <w:rsid w:val="0005213E"/>
    <w:rsid w:val="00056907"/>
    <w:rsid w:val="0006107C"/>
    <w:rsid w:val="00063465"/>
    <w:rsid w:val="000646F3"/>
    <w:rsid w:val="000673D4"/>
    <w:rsid w:val="0007520E"/>
    <w:rsid w:val="00081D01"/>
    <w:rsid w:val="00084ABD"/>
    <w:rsid w:val="00084FC3"/>
    <w:rsid w:val="00091236"/>
    <w:rsid w:val="0009538A"/>
    <w:rsid w:val="000963BF"/>
    <w:rsid w:val="000968B8"/>
    <w:rsid w:val="000A369C"/>
    <w:rsid w:val="000B0738"/>
    <w:rsid w:val="000B0C30"/>
    <w:rsid w:val="000B1DB9"/>
    <w:rsid w:val="000B262E"/>
    <w:rsid w:val="000B2CB3"/>
    <w:rsid w:val="000B5A77"/>
    <w:rsid w:val="000B5C6C"/>
    <w:rsid w:val="000B7535"/>
    <w:rsid w:val="000C0CF5"/>
    <w:rsid w:val="000C0D9C"/>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81B79"/>
    <w:rsid w:val="00185B82"/>
    <w:rsid w:val="00186566"/>
    <w:rsid w:val="001866A0"/>
    <w:rsid w:val="001A0117"/>
    <w:rsid w:val="001A0C5C"/>
    <w:rsid w:val="001A2661"/>
    <w:rsid w:val="001A39B2"/>
    <w:rsid w:val="001B287B"/>
    <w:rsid w:val="001B6B2C"/>
    <w:rsid w:val="001C191E"/>
    <w:rsid w:val="001C3D50"/>
    <w:rsid w:val="001C4D16"/>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37A2D"/>
    <w:rsid w:val="002407E8"/>
    <w:rsid w:val="00243DBA"/>
    <w:rsid w:val="0024761A"/>
    <w:rsid w:val="00250BB6"/>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B01EC"/>
    <w:rsid w:val="002C2843"/>
    <w:rsid w:val="002C3192"/>
    <w:rsid w:val="002C4857"/>
    <w:rsid w:val="002C5C2B"/>
    <w:rsid w:val="002C63EF"/>
    <w:rsid w:val="002C6FBA"/>
    <w:rsid w:val="002C7B2D"/>
    <w:rsid w:val="002D45FA"/>
    <w:rsid w:val="002D46A5"/>
    <w:rsid w:val="002D6F2D"/>
    <w:rsid w:val="002E4AC4"/>
    <w:rsid w:val="002E6395"/>
    <w:rsid w:val="002E69EC"/>
    <w:rsid w:val="002E734F"/>
    <w:rsid w:val="002F2995"/>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BFF"/>
    <w:rsid w:val="00323C3B"/>
    <w:rsid w:val="0032742B"/>
    <w:rsid w:val="00330BE7"/>
    <w:rsid w:val="00331CF0"/>
    <w:rsid w:val="00336714"/>
    <w:rsid w:val="0034214F"/>
    <w:rsid w:val="00344274"/>
    <w:rsid w:val="00345EE0"/>
    <w:rsid w:val="00350EF9"/>
    <w:rsid w:val="003544EA"/>
    <w:rsid w:val="00355D79"/>
    <w:rsid w:val="003641EA"/>
    <w:rsid w:val="003715BB"/>
    <w:rsid w:val="003738E5"/>
    <w:rsid w:val="00375753"/>
    <w:rsid w:val="00380B61"/>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34C1"/>
    <w:rsid w:val="003E4714"/>
    <w:rsid w:val="003F191B"/>
    <w:rsid w:val="003F3CD1"/>
    <w:rsid w:val="003F4671"/>
    <w:rsid w:val="003F4DD2"/>
    <w:rsid w:val="003F591F"/>
    <w:rsid w:val="003F7365"/>
    <w:rsid w:val="0040773A"/>
    <w:rsid w:val="004139F1"/>
    <w:rsid w:val="004178A9"/>
    <w:rsid w:val="00422AF5"/>
    <w:rsid w:val="00436105"/>
    <w:rsid w:val="004366C6"/>
    <w:rsid w:val="00437A70"/>
    <w:rsid w:val="00442A50"/>
    <w:rsid w:val="00444634"/>
    <w:rsid w:val="00445354"/>
    <w:rsid w:val="00453707"/>
    <w:rsid w:val="00455660"/>
    <w:rsid w:val="00455797"/>
    <w:rsid w:val="00460569"/>
    <w:rsid w:val="00463806"/>
    <w:rsid w:val="00463D7C"/>
    <w:rsid w:val="00475EE8"/>
    <w:rsid w:val="00480B08"/>
    <w:rsid w:val="004866D5"/>
    <w:rsid w:val="00490598"/>
    <w:rsid w:val="004937A4"/>
    <w:rsid w:val="004966DF"/>
    <w:rsid w:val="00497378"/>
    <w:rsid w:val="004A34B4"/>
    <w:rsid w:val="004A3BDF"/>
    <w:rsid w:val="004A7CCA"/>
    <w:rsid w:val="004B144A"/>
    <w:rsid w:val="004C1C22"/>
    <w:rsid w:val="004C2CEB"/>
    <w:rsid w:val="004C4610"/>
    <w:rsid w:val="004D4FD0"/>
    <w:rsid w:val="004E191E"/>
    <w:rsid w:val="004E1993"/>
    <w:rsid w:val="004E41E0"/>
    <w:rsid w:val="004E4302"/>
    <w:rsid w:val="004E5F81"/>
    <w:rsid w:val="004F113E"/>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532"/>
    <w:rsid w:val="00537624"/>
    <w:rsid w:val="00546B6C"/>
    <w:rsid w:val="00551B3A"/>
    <w:rsid w:val="00563CE5"/>
    <w:rsid w:val="005652F2"/>
    <w:rsid w:val="00566FD9"/>
    <w:rsid w:val="00567A1A"/>
    <w:rsid w:val="00571633"/>
    <w:rsid w:val="0057563D"/>
    <w:rsid w:val="00576900"/>
    <w:rsid w:val="005803F9"/>
    <w:rsid w:val="00582A5D"/>
    <w:rsid w:val="00583F84"/>
    <w:rsid w:val="00586447"/>
    <w:rsid w:val="005868ED"/>
    <w:rsid w:val="005911C0"/>
    <w:rsid w:val="005919DF"/>
    <w:rsid w:val="0059396D"/>
    <w:rsid w:val="005943E7"/>
    <w:rsid w:val="005966D4"/>
    <w:rsid w:val="00597D43"/>
    <w:rsid w:val="005A14F0"/>
    <w:rsid w:val="005A278A"/>
    <w:rsid w:val="005A6210"/>
    <w:rsid w:val="005A64CB"/>
    <w:rsid w:val="005A787B"/>
    <w:rsid w:val="005B3379"/>
    <w:rsid w:val="005B55B5"/>
    <w:rsid w:val="005B5671"/>
    <w:rsid w:val="005B7760"/>
    <w:rsid w:val="005C0B5C"/>
    <w:rsid w:val="005C10E1"/>
    <w:rsid w:val="005C3158"/>
    <w:rsid w:val="005C38C0"/>
    <w:rsid w:val="005C7766"/>
    <w:rsid w:val="005D02E1"/>
    <w:rsid w:val="005D347F"/>
    <w:rsid w:val="005E357A"/>
    <w:rsid w:val="005E37F6"/>
    <w:rsid w:val="005E6B61"/>
    <w:rsid w:val="005F1C2F"/>
    <w:rsid w:val="005F462A"/>
    <w:rsid w:val="005F4EDF"/>
    <w:rsid w:val="005F5810"/>
    <w:rsid w:val="005F5E49"/>
    <w:rsid w:val="005F7290"/>
    <w:rsid w:val="00601E28"/>
    <w:rsid w:val="00602B8B"/>
    <w:rsid w:val="00602C35"/>
    <w:rsid w:val="00602D3A"/>
    <w:rsid w:val="00604B51"/>
    <w:rsid w:val="006104F9"/>
    <w:rsid w:val="006150F2"/>
    <w:rsid w:val="00615B93"/>
    <w:rsid w:val="00623A8B"/>
    <w:rsid w:val="00626200"/>
    <w:rsid w:val="00627DCE"/>
    <w:rsid w:val="006339BE"/>
    <w:rsid w:val="00636AF0"/>
    <w:rsid w:val="00636BB1"/>
    <w:rsid w:val="00637938"/>
    <w:rsid w:val="00637B94"/>
    <w:rsid w:val="0064328D"/>
    <w:rsid w:val="006577A9"/>
    <w:rsid w:val="006705B0"/>
    <w:rsid w:val="00670DB0"/>
    <w:rsid w:val="006750AF"/>
    <w:rsid w:val="00675EBE"/>
    <w:rsid w:val="00680903"/>
    <w:rsid w:val="006809BE"/>
    <w:rsid w:val="00681ED5"/>
    <w:rsid w:val="00682835"/>
    <w:rsid w:val="006832AD"/>
    <w:rsid w:val="00691E49"/>
    <w:rsid w:val="00692790"/>
    <w:rsid w:val="006959BA"/>
    <w:rsid w:val="00695C09"/>
    <w:rsid w:val="006A2B5C"/>
    <w:rsid w:val="006B1091"/>
    <w:rsid w:val="006B35C6"/>
    <w:rsid w:val="006B3B09"/>
    <w:rsid w:val="006B43A3"/>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6812"/>
    <w:rsid w:val="008877BD"/>
    <w:rsid w:val="008879D2"/>
    <w:rsid w:val="0089101A"/>
    <w:rsid w:val="00897E0A"/>
    <w:rsid w:val="008A1DC2"/>
    <w:rsid w:val="008A5082"/>
    <w:rsid w:val="008A5972"/>
    <w:rsid w:val="008A7189"/>
    <w:rsid w:val="008A74F9"/>
    <w:rsid w:val="008A7998"/>
    <w:rsid w:val="008B07F2"/>
    <w:rsid w:val="008B17F5"/>
    <w:rsid w:val="008B1819"/>
    <w:rsid w:val="008C163B"/>
    <w:rsid w:val="008C444A"/>
    <w:rsid w:val="008C5F0F"/>
    <w:rsid w:val="008D2535"/>
    <w:rsid w:val="008D42AB"/>
    <w:rsid w:val="008D49EC"/>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696D"/>
    <w:rsid w:val="0091056A"/>
    <w:rsid w:val="00910779"/>
    <w:rsid w:val="00913306"/>
    <w:rsid w:val="00920804"/>
    <w:rsid w:val="00920AAC"/>
    <w:rsid w:val="0092114A"/>
    <w:rsid w:val="00927A67"/>
    <w:rsid w:val="00927ECD"/>
    <w:rsid w:val="00933051"/>
    <w:rsid w:val="009344A9"/>
    <w:rsid w:val="0093680B"/>
    <w:rsid w:val="00940C28"/>
    <w:rsid w:val="00941A24"/>
    <w:rsid w:val="00942DD8"/>
    <w:rsid w:val="00943E08"/>
    <w:rsid w:val="0094407B"/>
    <w:rsid w:val="00944BEF"/>
    <w:rsid w:val="00950AAF"/>
    <w:rsid w:val="00952767"/>
    <w:rsid w:val="009541B6"/>
    <w:rsid w:val="00960A6C"/>
    <w:rsid w:val="009626DC"/>
    <w:rsid w:val="00965DCE"/>
    <w:rsid w:val="00967E5E"/>
    <w:rsid w:val="00970970"/>
    <w:rsid w:val="009722A5"/>
    <w:rsid w:val="00974BF7"/>
    <w:rsid w:val="00976057"/>
    <w:rsid w:val="009767CB"/>
    <w:rsid w:val="00977992"/>
    <w:rsid w:val="009802B6"/>
    <w:rsid w:val="00981423"/>
    <w:rsid w:val="009826ED"/>
    <w:rsid w:val="009874C5"/>
    <w:rsid w:val="00992412"/>
    <w:rsid w:val="009955F0"/>
    <w:rsid w:val="009965BE"/>
    <w:rsid w:val="00996A9D"/>
    <w:rsid w:val="009A1A0A"/>
    <w:rsid w:val="009A26C0"/>
    <w:rsid w:val="009A6F39"/>
    <w:rsid w:val="009A798F"/>
    <w:rsid w:val="009B11DE"/>
    <w:rsid w:val="009B1F4A"/>
    <w:rsid w:val="009B4D8A"/>
    <w:rsid w:val="009B5004"/>
    <w:rsid w:val="009B5AA2"/>
    <w:rsid w:val="009C1C3A"/>
    <w:rsid w:val="009C2BFB"/>
    <w:rsid w:val="009C3DBF"/>
    <w:rsid w:val="009C7096"/>
    <w:rsid w:val="009D0044"/>
    <w:rsid w:val="009D20B1"/>
    <w:rsid w:val="009D3401"/>
    <w:rsid w:val="009D42EE"/>
    <w:rsid w:val="009D4D87"/>
    <w:rsid w:val="009D660C"/>
    <w:rsid w:val="009E22E3"/>
    <w:rsid w:val="009E5EEF"/>
    <w:rsid w:val="009E7585"/>
    <w:rsid w:val="009F4D9B"/>
    <w:rsid w:val="009F6975"/>
    <w:rsid w:val="009F7E71"/>
    <w:rsid w:val="00A02467"/>
    <w:rsid w:val="00A028A4"/>
    <w:rsid w:val="00A0565C"/>
    <w:rsid w:val="00A05CC9"/>
    <w:rsid w:val="00A06ACD"/>
    <w:rsid w:val="00A215A4"/>
    <w:rsid w:val="00A22CD3"/>
    <w:rsid w:val="00A24A4C"/>
    <w:rsid w:val="00A2784D"/>
    <w:rsid w:val="00A31406"/>
    <w:rsid w:val="00A3352E"/>
    <w:rsid w:val="00A33B45"/>
    <w:rsid w:val="00A36BC4"/>
    <w:rsid w:val="00A42945"/>
    <w:rsid w:val="00A4653C"/>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3BAB"/>
    <w:rsid w:val="00A93CCF"/>
    <w:rsid w:val="00A966FF"/>
    <w:rsid w:val="00AB1444"/>
    <w:rsid w:val="00AB227D"/>
    <w:rsid w:val="00AB5C5F"/>
    <w:rsid w:val="00AC300B"/>
    <w:rsid w:val="00AD0696"/>
    <w:rsid w:val="00AD3BD8"/>
    <w:rsid w:val="00AD47E5"/>
    <w:rsid w:val="00AE0B66"/>
    <w:rsid w:val="00AE3450"/>
    <w:rsid w:val="00AF1813"/>
    <w:rsid w:val="00AF1C54"/>
    <w:rsid w:val="00AF2558"/>
    <w:rsid w:val="00B06AF2"/>
    <w:rsid w:val="00B07B0B"/>
    <w:rsid w:val="00B10A86"/>
    <w:rsid w:val="00B12EDD"/>
    <w:rsid w:val="00B1726B"/>
    <w:rsid w:val="00B17A9B"/>
    <w:rsid w:val="00B20F7A"/>
    <w:rsid w:val="00B25DEE"/>
    <w:rsid w:val="00B264B4"/>
    <w:rsid w:val="00B31F3E"/>
    <w:rsid w:val="00B34036"/>
    <w:rsid w:val="00B37AC2"/>
    <w:rsid w:val="00B41FD6"/>
    <w:rsid w:val="00B4282A"/>
    <w:rsid w:val="00B4316E"/>
    <w:rsid w:val="00B5130F"/>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926"/>
    <w:rsid w:val="00C84320"/>
    <w:rsid w:val="00C90829"/>
    <w:rsid w:val="00C912B0"/>
    <w:rsid w:val="00C92331"/>
    <w:rsid w:val="00C93385"/>
    <w:rsid w:val="00C94A14"/>
    <w:rsid w:val="00C961FD"/>
    <w:rsid w:val="00CA22E4"/>
    <w:rsid w:val="00CB193C"/>
    <w:rsid w:val="00CB6EA2"/>
    <w:rsid w:val="00CC245F"/>
    <w:rsid w:val="00CC2EB7"/>
    <w:rsid w:val="00CC35FB"/>
    <w:rsid w:val="00CD646D"/>
    <w:rsid w:val="00CD6AAF"/>
    <w:rsid w:val="00CD7732"/>
    <w:rsid w:val="00CE0B8D"/>
    <w:rsid w:val="00CE3258"/>
    <w:rsid w:val="00CE3BBC"/>
    <w:rsid w:val="00CE4CE3"/>
    <w:rsid w:val="00CE5988"/>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43B6"/>
    <w:rsid w:val="00D46B2A"/>
    <w:rsid w:val="00D5449B"/>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7A0"/>
    <w:rsid w:val="00DB58C8"/>
    <w:rsid w:val="00DB796E"/>
    <w:rsid w:val="00DC0EE0"/>
    <w:rsid w:val="00DC0F04"/>
    <w:rsid w:val="00DC4EF5"/>
    <w:rsid w:val="00DD15EF"/>
    <w:rsid w:val="00DD1B89"/>
    <w:rsid w:val="00DE620A"/>
    <w:rsid w:val="00DE7D58"/>
    <w:rsid w:val="00DF31E7"/>
    <w:rsid w:val="00DF4911"/>
    <w:rsid w:val="00DF580F"/>
    <w:rsid w:val="00E02B01"/>
    <w:rsid w:val="00E03377"/>
    <w:rsid w:val="00E04BED"/>
    <w:rsid w:val="00E0572E"/>
    <w:rsid w:val="00E06A24"/>
    <w:rsid w:val="00E07818"/>
    <w:rsid w:val="00E07C04"/>
    <w:rsid w:val="00E154E0"/>
    <w:rsid w:val="00E2503E"/>
    <w:rsid w:val="00E2777C"/>
    <w:rsid w:val="00E30521"/>
    <w:rsid w:val="00E353A8"/>
    <w:rsid w:val="00E35C57"/>
    <w:rsid w:val="00E400B6"/>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17BD"/>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7063"/>
    <w:rsid w:val="00ED7E29"/>
    <w:rsid w:val="00EE0087"/>
    <w:rsid w:val="00EE0E59"/>
    <w:rsid w:val="00EE29EB"/>
    <w:rsid w:val="00EF01BC"/>
    <w:rsid w:val="00EF055D"/>
    <w:rsid w:val="00EF094F"/>
    <w:rsid w:val="00EF4A3A"/>
    <w:rsid w:val="00EF54E7"/>
    <w:rsid w:val="00F053CB"/>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2E1C"/>
    <w:rsid w:val="00F63B5D"/>
    <w:rsid w:val="00F63CEE"/>
    <w:rsid w:val="00F67664"/>
    <w:rsid w:val="00F706A2"/>
    <w:rsid w:val="00F74088"/>
    <w:rsid w:val="00F758B1"/>
    <w:rsid w:val="00F76287"/>
    <w:rsid w:val="00F80074"/>
    <w:rsid w:val="00F82EE6"/>
    <w:rsid w:val="00F864C8"/>
    <w:rsid w:val="00FA04FD"/>
    <w:rsid w:val="00FA1914"/>
    <w:rsid w:val="00FA4705"/>
    <w:rsid w:val="00FA69E1"/>
    <w:rsid w:val="00FA6AAD"/>
    <w:rsid w:val="00FB15C8"/>
    <w:rsid w:val="00FC2987"/>
    <w:rsid w:val="00FC3A33"/>
    <w:rsid w:val="00FC4285"/>
    <w:rsid w:val="00FC5BA6"/>
    <w:rsid w:val="00FC703C"/>
    <w:rsid w:val="00FD5202"/>
    <w:rsid w:val="00FD599D"/>
    <w:rsid w:val="00FE358B"/>
    <w:rsid w:val="00FE584C"/>
    <w:rsid w:val="00FF3E30"/>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 w:type="paragraph" w:styleId="ListBullet">
    <w:name w:val="List Bullet"/>
    <w:basedOn w:val="Normal"/>
    <w:uiPriority w:val="99"/>
    <w:unhideWhenUsed/>
    <w:rsid w:val="00F62E1C"/>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darwintreeoflife/darwintreeoflife.data"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genome/98123?genome_assembly_id=1557693"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134E1-F596-4DDB-87C4-A74C4E5E4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48624</Words>
  <Characters>306337</Characters>
  <Application>Microsoft Office Word</Application>
  <DocSecurity>0</DocSecurity>
  <Lines>2552</Lines>
  <Paragraphs>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2023-01-20T10:28:00Z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zotero-version="6.0.19"&gt;&lt;session id="yRDFbE2O"/&gt;&lt;style id="http://www.zotero.org/styles/biological-conservation" hasBibliography="1" bibliographyStyleHasBeenSet="1"/&gt;&lt;prefs&gt;&lt;pref name="fieldType" value="Field"/&gt;&lt;/prefs&gt;&lt;/data&gt;</vt:lpwstr>
  </property>
</Properties>
</file>