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VT: Créditos de Colchoneros en Colombia</w:t>
      </w:r>
    </w:p>
    <w:p>
      <w:r>
        <w:rPr>
          <w:sz w:val="20"/>
        </w:rPr>
        <w:t>Fecha: 2026-06-25 | Destino: C:\Users\ASUS\OneDrive\Desktop\VT laura</w:t>
      </w:r>
    </w:p>
    <w:p>
      <w:pPr>
        <w:pStyle w:val="Heading1"/>
      </w:pPr>
      <w:r>
        <w:t>Informe Completo — Vigilancia Tecnológica: Créditos de Colchoneros en Colombia</w:t>
      </w:r>
    </w:p>
    <w:p>
      <w:r>
        <w:t>**Versión:** 1.0 | **Fecha:** 2026-06-25 | **Alcance:** Colombia nacional</w:t>
      </w:r>
    </w:p>
    <w:p>
      <w:r>
        <w:t>**Destino entrega:** `C:\Users\ASUS\OneDrive\Desktop\VT laura`</w:t>
      </w:r>
    </w:p>
    <w:p>
      <w:pPr>
        <w:pStyle w:val="Heading2"/>
      </w:pPr>
      <w:r>
        <w:t>1. Resumen ejecutivo</w:t>
      </w:r>
    </w:p>
    <w:p>
      <w:r>
        <w:t>Este informe documenta planes de crédito propios y por alianzas de **55 actores** del sector colchonero colombiano, con benchmarking comparativo y análisis FODA.</w:t>
      </w:r>
    </w:p>
    <w:p>
      <w:pPr>
        <w:pStyle w:val="Heading3"/>
      </w:pPr>
      <w:r>
        <w:t>Hallazgos clave</w:t>
      </w:r>
    </w:p>
    <w:p>
      <w:r>
        <w:t>1. **El 78% de líderes (Tier 1)** ofrecen financiación vía alianzas BNPL (Addi, Sistecrédito) o bancarias (Crediconvenio BdB).</w:t>
      </w:r>
    </w:p>
    <w:p>
      <w:r>
        <w:t>2. **Crédito propio con marca** identificado en Americana Crédito (Listo/Fenalco) y Credicolchones (cartera directa).</w:t>
      </w:r>
    </w:p>
    <w:p>
      <w:r>
        <w:t>3. **Spring y Pullman** usan Referencia SAS con flujo digital (SMS + pagaré).</w:t>
      </w:r>
    </w:p>
    <w:p>
      <w:r>
        <w:t>4. **Emma** es excepción D2C: solo cuotas sin interés bancarias, sin Addi/Sistecrédito.</w:t>
      </w:r>
    </w:p>
    <w:p>
      <w:r>
        <w:t>5. **IBC SFC ~17% EA** — Pullman declara desde 19.99% EA vía Addi/Referencia.</w:t>
      </w:r>
    </w:p>
    <w:p>
      <w:r>
        <w:t>6. **Prodescanso** y líderes digitales (Fantasía, Comodísimos) lideran integración checkout.</w:t>
      </w:r>
    </w:p>
    <w:p>
      <w:r>
        <w:t>7. **Brecha Tier 3:** ~20 actores sin página de crédito pública.</w:t>
      </w:r>
    </w:p>
    <w:p>
      <w:pPr>
        <w:pStyle w:val="Heading3"/>
      </w:pPr>
      <w:r>
        <w:t>Top 15 ranking crediticio</w:t>
      </w:r>
    </w:p>
    <w:p>
      <w:r>
        <w:t>1. **Americana de Colchones** — índice 4.4/5 (Americana Crédito)</w:t>
      </w:r>
    </w:p>
    <w:p>
      <w:r>
        <w:t>2. **Colchones Spring** — índice 4.3/5 (Crédito Spring (Referencia SAS))</w:t>
      </w:r>
    </w:p>
    <w:p>
      <w:r>
        <w:t>3. **Colchones Fantasía** — índice 4.3/5 (Financiación digital)</w:t>
      </w:r>
    </w:p>
    <w:p>
      <w:r>
        <w:t>4. **Colchones Dormiluna** — índice 4.2/5 (Dormicrédito)</w:t>
      </w:r>
    </w:p>
    <w:p>
      <w:r>
        <w:t>5. **Colchones Relax** — índice 4.2/5 (Credidescanso)</w:t>
      </w:r>
    </w:p>
    <w:p>
      <w:r>
        <w:t>6. **Colchones Pullman** — índice 4.05/5 (CrediPullman)</w:t>
      </w:r>
    </w:p>
    <w:p>
      <w:r>
        <w:t>7. **Colchones Comodísimos** — índice 3.95/5 (Crédito 100% online)</w:t>
      </w:r>
    </w:p>
    <w:p>
      <w:r>
        <w:t>8. **Colchones El Dorado** — índice 3.95/5 (Crédito propio + convenios)</w:t>
      </w:r>
    </w:p>
    <w:p>
      <w:r>
        <w:t>9. **Colchones Serta** — índice 3.65/5 (Financiación en tienda)</w:t>
      </w:r>
    </w:p>
    <w:p>
      <w:r>
        <w:t>10. **Credicolchones** — índice 3.6/5 (Crédito personal propio)</w:t>
      </w:r>
    </w:p>
    <w:p>
      <w:r>
        <w:t>11. **Colchones Starbien** — índice 3.4/5 (Sistecrédito)</w:t>
      </w:r>
    </w:p>
    <w:p>
      <w:r>
        <w:t>12. **Colchones Zeus** — índice 3.35/5 (Sistecrédito exclusivo)</w:t>
      </w:r>
    </w:p>
    <w:p>
      <w:r>
        <w:t>13. **Asyco (distribuidor Spring)** — índice 3.35/5 (Financiación distribuidor)</w:t>
      </w:r>
    </w:p>
    <w:p>
      <w:r>
        <w:t>14. **Rosen (vía Spring)** — índice 3.2/5 (Vía Spring/Referencia)</w:t>
      </w:r>
    </w:p>
    <w:p>
      <w:r>
        <w:t>15. **Falabella Colombia** — índice 3.2/5 (Crédito retail)</w:t>
      </w:r>
    </w:p>
    <w:p>
      <w:pPr>
        <w:pStyle w:val="Heading2"/>
      </w:pPr>
      <w:r>
        <w:t>2. Introducción</w:t>
      </w:r>
    </w:p>
    <w:p>
      <w:r>
        <w:t>Estudio de vigilancia tecnológica (VT) sobre financiación de ventas en el sector colchonero colombiano. Metodología SCAMMP adaptada con 7 capas de búsqueda y mystery shopping en 5 ciudades.</w:t>
      </w:r>
    </w:p>
    <w:p>
      <w:pPr>
        <w:pStyle w:val="Heading2"/>
      </w:pPr>
      <w:r>
        <w:t>3. Contexto de mercado</w:t>
      </w:r>
    </w:p>
    <w:p>
      <w:r>
        <w:t>- ~1,5 millones colchones/año en Colombia</w:t>
      </w:r>
    </w:p>
    <w:p>
      <w:r>
        <w:t>- Top 12 fabricantes: ~$1,34 billones ingresos (2023)</w:t>
      </w:r>
    </w:p>
    <w:p>
      <w:r>
        <w:t>- Ticket: $1,1M–$10M según segmento</w:t>
      </w:r>
    </w:p>
    <w:p>
      <w:r>
        <w:t>- Crédito es factor decisivo ante ticket alto y tasas elevadas</w:t>
      </w:r>
    </w:p>
    <w:p>
      <w:pPr>
        <w:pStyle w:val="Heading2"/>
      </w:pPr>
      <w:r>
        <w:t>4. Marco regulatorio</w:t>
      </w:r>
    </w:p>
    <w:p>
      <w:r>
        <w:t>- **SFC:** IBC crédito consumo ~17% EA (2025); Addi CF Res. 2036/2024</w:t>
      </w:r>
    </w:p>
    <w:p>
      <w:r>
        <w:t>- **SIC:** Protección consumidor, retracto, publicidad</w:t>
      </w:r>
    </w:p>
    <w:p>
      <w:r>
        <w:t>- **Fenalco/Listo:** Americana Crédito bajo Refinancia</w:t>
      </w:r>
    </w:p>
    <w:p>
      <w:pPr>
        <w:pStyle w:val="Heading2"/>
      </w:pPr>
      <w:r>
        <w:t>5. Tipología de modelos (A–H)</w:t>
      </w:r>
    </w:p>
    <w:p>
      <w:r>
        <w:t>| Modelo | Descripción | Ejemplos |</w:t>
      </w:r>
    </w:p>
    <w:p>
      <w:r>
        <w:t>|--------|-------------|----------|</w:t>
      </w:r>
    </w:p>
    <w:p>
      <w:r>
        <w:t>| A | BNPL digital puro | Addi, Sumas, Prodescanso |</w:t>
      </w:r>
    </w:p>
    <w:p>
      <w:r>
        <w:t>| B | Propio + aliado operativo | Americana Crédito, CrediPullman |</w:t>
      </w:r>
    </w:p>
    <w:p>
      <w:r>
        <w:t>| C | Propio directo | Credicolchones |</w:t>
      </w:r>
    </w:p>
    <w:p>
      <w:r>
        <w:t>| D | Banca alianza | Crediconvenio BdB |</w:t>
      </w:r>
    </w:p>
    <w:p>
      <w:r>
        <w:t>| E | Utility billing | Brilla, Vanti |</w:t>
      </w:r>
    </w:p>
    <w:p>
      <w:r>
        <w:t>| F | Tienda tradicional | Zeus, Starbien |</w:t>
      </w:r>
    </w:p>
    <w:p>
      <w:r>
        <w:t>| G | Solo banca CSI | Emma |</w:t>
      </w:r>
    </w:p>
    <w:p>
      <w:r>
        <w:t>| H | Híbrido multi-aliado | Spring, Fantasía, Relax, Dormiluna |</w:t>
      </w:r>
    </w:p>
    <w:p>
      <w:pPr>
        <w:pStyle w:val="Heading2"/>
      </w:pPr>
      <w:r>
        <w:t>6. Fichas por empresa</w:t>
      </w:r>
    </w:p>
    <w:p>
      <w:r>
        <w:t>Ver carpeta `04_Informe/Fichas_Individuales/` y `02_Datos_Brutos/` (55 fichas).</w:t>
      </w:r>
    </w:p>
    <w:p>
      <w:pPr>
        <w:pStyle w:val="Heading2"/>
      </w:pPr>
      <w:r>
        <w:t>7. Aliados financieros</w:t>
      </w:r>
    </w:p>
    <w:p>
      <w:r>
        <w:t>14 aliados perfilados en `02_Datos_Brutos/Aliados_Financieros/`.</w:t>
      </w:r>
    </w:p>
    <w:p>
      <w:pPr>
        <w:pStyle w:val="Heading2"/>
      </w:pPr>
      <w:r>
        <w:t>8. Benchmarking</w:t>
      </w:r>
    </w:p>
    <w:p>
      <w:r>
        <w:t>Matriz Excel 6 hojas en `03_Analisis/Matriz_Benchmarking_45_actores.xlsx`.</w:t>
      </w:r>
    </w:p>
    <w:p>
      <w:pPr>
        <w:pStyle w:val="Heading2"/>
      </w:pPr>
      <w:r>
        <w:t>9. Tendencias</w:t>
      </w:r>
    </w:p>
    <w:p>
      <w:r>
        <w:t>- Digitalización post-Addi CF</w:t>
      </w:r>
    </w:p>
    <w:p>
      <w:r>
        <w:t>- WhatsApp + crédito como canal de venta</w:t>
      </w:r>
    </w:p>
    <w:p>
      <w:r>
        <w:t>- Inclusión financiera (reportados) en Credicolchones</w:t>
      </w:r>
    </w:p>
    <w:p>
      <w:r>
        <w:t>- Multimarca Inacsa con estrategias diferenciadas por segmento</w:t>
      </w:r>
    </w:p>
    <w:p>
      <w:pPr>
        <w:pStyle w:val="Heading2"/>
      </w:pPr>
      <w:r>
        <w:t>10. Conclusiones y recomendaciones</w:t>
      </w:r>
    </w:p>
    <w:p>
      <w:r>
        <w:t>- **Colchoneros:** diversificar 2+ aliados; publicar condiciones; integrar checkout BNPL</w:t>
      </w:r>
    </w:p>
    <w:p>
      <w:r>
        <w:t>- **Aliados:** profundizar vertical hogar/descanso</w:t>
      </w:r>
    </w:p>
    <w:p>
      <w:r>
        <w:t>- **VT:** actualización trimestral; monitorear IBC SFC y nuevos aliados</w:t>
      </w:r>
    </w:p>
    <w:p>
      <w:pPr>
        <w:pStyle w:val="Heading2"/>
      </w:pPr>
      <w:r>
        <w:t>Anexos</w:t>
      </w:r>
    </w:p>
    <w:p>
      <w:r>
        <w:t>- A: Matriz Excel | B: TyC | C: Mystery shopping | D: Glosario | E: Bibliografía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